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BACCALAURÉAT GÉNÉRAL</w:t>
      </w:r>
    </w:p>
    <w:p w:rsidR="00000000" w:rsidDel="00000000" w:rsidP="00000000" w:rsidRDefault="00000000" w:rsidRPr="00000000" w14:paraId="00000004">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Épreuve pratique de l’enseignement de spécialité physique-chimie</w:t>
      </w:r>
    </w:p>
    <w:p w:rsidR="00000000" w:rsidDel="00000000" w:rsidP="00000000" w:rsidRDefault="00000000" w:rsidRPr="00000000" w14:paraId="00000006">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Évaluation des Compétences Expérimentales</w:t>
      </w:r>
    </w:p>
    <w:p w:rsidR="00000000" w:rsidDel="00000000" w:rsidP="00000000" w:rsidRDefault="00000000" w:rsidRPr="00000000" w14:paraId="00000007">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Cette situation d’évaluation fait partie de la banque nationale.</w:t>
      </w:r>
    </w:p>
    <w:p w:rsidR="00000000" w:rsidDel="00000000" w:rsidP="00000000" w:rsidRDefault="00000000" w:rsidRPr="00000000" w14:paraId="00000009">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color="000000" w:space="1" w:sz="12" w:val="single"/>
          <w:left w:color="000000" w:space="0" w:sz="12" w:val="single"/>
          <w:bottom w:color="000000" w:space="1" w:sz="12" w:val="single"/>
          <w:right w:color="000000" w:space="1" w:sz="12" w:val="single"/>
          <w:between w:space="0" w:sz="0" w:val="nil"/>
        </w:pBdr>
        <w:shd w:fill="d9d9d9" w:val="clear"/>
        <w:tabs>
          <w:tab w:val="left" w:pos="-1985"/>
          <w:tab w:val="left" w:pos="567"/>
          <w:tab w:val="left" w:pos="825"/>
          <w:tab w:val="center" w:pos="5102"/>
        </w:tabs>
        <w:spacing w:after="0" w:before="0" w:line="264" w:lineRule="auto"/>
        <w:ind w:left="284" w:right="281" w:firstLine="0"/>
        <w:jc w:val="left"/>
        <w:rPr>
          <w:rFonts w:ascii="Arial" w:cs="Arial" w:eastAsia="Arial" w:hAnsi="Arial"/>
          <w:b w:val="1"/>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tab/>
        <w:t xml:space="preserve"> ÉNONCÉ DESTINÉ AU CANDIDAT</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986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3"/>
        <w:gridCol w:w="4933"/>
        <w:tblGridChange w:id="0">
          <w:tblGrid>
            <w:gridCol w:w="4933"/>
            <w:gridCol w:w="4933"/>
          </w:tblGrid>
        </w:tblGridChange>
      </w:tblGrid>
      <w:tr>
        <w:trPr>
          <w:cantSplit w:val="0"/>
          <w:tblHeader w:val="0"/>
        </w:trPr>
        <w:tc>
          <w:tcPr>
            <w:tcMar>
              <w:top w:w="57.0" w:type="dxa"/>
              <w:left w:w="57.0" w:type="dxa"/>
              <w:bottom w:w="57.0" w:type="dxa"/>
              <w:right w:w="57.0" w:type="dxa"/>
            </w:tcMa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NOM :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57.0" w:type="dxa"/>
              <w:left w:w="57.0" w:type="dxa"/>
              <w:bottom w:w="57.0" w:type="dxa"/>
              <w:right w:w="57.0" w:type="dxa"/>
            </w:tcMa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Prénom : </w:t>
            </w:r>
          </w:p>
        </w:tc>
      </w:tr>
      <w:tr>
        <w:trPr>
          <w:cantSplit w:val="0"/>
          <w:tblHeader w:val="0"/>
        </w:trPr>
        <w:tc>
          <w:tcPr>
            <w:tcMar>
              <w:top w:w="57.0" w:type="dxa"/>
              <w:left w:w="57.0" w:type="dxa"/>
              <w:bottom w:w="57.0" w:type="dxa"/>
              <w:right w:w="57.0" w:type="dxa"/>
            </w:tcMa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Centre d’examen :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57.0" w:type="dxa"/>
              <w:left w:w="57.0" w:type="dxa"/>
              <w:bottom w:w="57.0" w:type="dxa"/>
              <w:right w:w="57.0" w:type="dxa"/>
            </w:tcMa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d’inscription : </w:t>
            </w:r>
          </w:p>
        </w:tc>
      </w:tr>
    </w:tbl>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Cette situation d’évaluation comporte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quatre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pages sur lesquelles le candidat doit consigner ses réponses.</w:t>
      </w:r>
    </w:p>
    <w:p w:rsidR="00000000" w:rsidDel="00000000" w:rsidP="00000000" w:rsidRDefault="00000000" w:rsidRPr="00000000" w14:paraId="00000015">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 candidat doit restituer ce document avant de sortir de la salle d'examen.</w:t>
      </w:r>
    </w:p>
    <w:p w:rsidR="00000000" w:rsidDel="00000000" w:rsidP="00000000" w:rsidRDefault="00000000" w:rsidRPr="00000000" w14:paraId="00000016">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 candidat doit agir en autonomie et faire preuve d’initiative tout au long de l’épreuve.</w:t>
      </w:r>
    </w:p>
    <w:p w:rsidR="00000000" w:rsidDel="00000000" w:rsidP="00000000" w:rsidRDefault="00000000" w:rsidRPr="00000000" w14:paraId="00000018">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cas de difficulté, le candidat peut solliciter l’examinateur afin de lui permettre de continuer la tâche.</w:t>
      </w:r>
    </w:p>
    <w:p w:rsidR="00000000" w:rsidDel="00000000" w:rsidP="00000000" w:rsidRDefault="00000000" w:rsidRPr="00000000" w14:paraId="00000019">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L’examinateur peut intervenir à tout moment, s’il le juge utile.</w:t>
      </w:r>
    </w:p>
    <w:p w:rsidR="00000000" w:rsidDel="00000000" w:rsidP="00000000" w:rsidRDefault="00000000" w:rsidRPr="00000000" w14:paraId="0000001A">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L’usage de la calculatrice avec mode examen actif est autorisé. L’usage de calculatrice sans mémoire « type collège » est autorisé.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CONTEXTE DE LA SITUATION D’ÉVALUATION</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L'encre sympathique est une substance utilisée pour l'écriture, qui est invisible ou le devient rapidement, et qui peut être rendue ultérieurement visible par certains moyens d'action (chauffage ou utilisation d’un révélateur). Une telle encre peut servir à transmettre discrètement un message.</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Par exemple, après avoir écrit sur une feuille de papier avec une plume trempée dans une solution de </w:t>
      </w:r>
      <w:r w:rsidDel="00000000" w:rsidR="00000000" w:rsidRPr="00000000">
        <w:rPr>
          <w:highlight w:val="yellow"/>
          <w:rtl w:val="0"/>
        </w:rPr>
        <w:t xml:space="preserve">diiode</w:t>
      </w:r>
      <w:r w:rsidDel="00000000" w:rsidR="00000000" w:rsidRPr="00000000">
        <w:rPr>
          <w:rtl w:val="0"/>
        </w:rPr>
        <w:t xml:space="preserve"> de couleur </w:t>
      </w:r>
      <w:r w:rsidDel="00000000" w:rsidR="00000000" w:rsidRPr="00000000">
        <w:rPr>
          <w:highlight w:val="yellow"/>
          <w:rtl w:val="0"/>
        </w:rPr>
        <w:t xml:space="preserve">brune</w:t>
      </w:r>
      <w:r w:rsidDel="00000000" w:rsidR="00000000" w:rsidRPr="00000000">
        <w:rPr>
          <w:rtl w:val="0"/>
        </w:rPr>
        <w:t xml:space="preserve">, on peut faire </w:t>
      </w:r>
      <w:r w:rsidDel="00000000" w:rsidR="00000000" w:rsidRPr="00000000">
        <w:rPr>
          <w:highlight w:val="yellow"/>
          <w:rtl w:val="0"/>
        </w:rPr>
        <w:t xml:space="preserve">disparaître</w:t>
      </w:r>
      <w:r w:rsidDel="00000000" w:rsidR="00000000" w:rsidRPr="00000000">
        <w:rPr>
          <w:rtl w:val="0"/>
        </w:rPr>
        <w:t xml:space="preserve"> l’écriture en la couvrant de </w:t>
      </w:r>
      <w:r w:rsidDel="00000000" w:rsidR="00000000" w:rsidRPr="00000000">
        <w:rPr>
          <w:highlight w:val="yellow"/>
          <w:rtl w:val="0"/>
        </w:rPr>
        <w:t xml:space="preserve">jus de citron</w:t>
      </w:r>
      <w:r w:rsidDel="00000000" w:rsidR="00000000" w:rsidRPr="00000000">
        <w:rPr>
          <w:rtl w:val="0"/>
        </w:rPr>
        <w:t xml:space="preserve"> (le jus de citron contient de l’</w:t>
      </w:r>
      <w:r w:rsidDel="00000000" w:rsidR="00000000" w:rsidRPr="00000000">
        <w:rPr>
          <w:highlight w:val="yellow"/>
          <w:rtl w:val="0"/>
        </w:rPr>
        <w:t xml:space="preserve">acide</w:t>
      </w:r>
      <w:r w:rsidDel="00000000" w:rsidR="00000000" w:rsidRPr="00000000">
        <w:rPr>
          <w:rtl w:val="0"/>
        </w:rPr>
        <w:t xml:space="preserve"> </w:t>
      </w:r>
      <w:r w:rsidDel="00000000" w:rsidR="00000000" w:rsidRPr="00000000">
        <w:rPr>
          <w:highlight w:val="yellow"/>
          <w:rtl w:val="0"/>
        </w:rPr>
        <w:t xml:space="preserve">ascorbique</w:t>
      </w:r>
      <w:r w:rsidDel="00000000" w:rsidR="00000000" w:rsidRPr="00000000">
        <w:rPr>
          <w:rtl w:val="0"/>
        </w:rPr>
        <w:t xml:space="preserve"> qui va </w:t>
      </w:r>
      <w:r w:rsidDel="00000000" w:rsidR="00000000" w:rsidRPr="00000000">
        <w:rPr>
          <w:highlight w:val="yellow"/>
          <w:rtl w:val="0"/>
        </w:rPr>
        <w:t xml:space="preserve">réagir</w:t>
      </w:r>
      <w:r w:rsidDel="00000000" w:rsidR="00000000" w:rsidRPr="00000000">
        <w:rPr>
          <w:rtl w:val="0"/>
        </w:rPr>
        <w:t xml:space="preserve"> avec le diiode pour former notamment des </w:t>
      </w:r>
      <w:r w:rsidDel="00000000" w:rsidR="00000000" w:rsidRPr="00000000">
        <w:rPr>
          <w:highlight w:val="yellow"/>
          <w:rtl w:val="0"/>
        </w:rPr>
        <w:t xml:space="preserve">ions iodure, incolores</w:t>
      </w:r>
      <w:r w:rsidDel="00000000" w:rsidR="00000000" w:rsidRPr="00000000">
        <w:rPr>
          <w:rtl w:val="0"/>
        </w:rPr>
        <w:t xml:space="preserve">). </w:t>
      </w:r>
    </w:p>
    <w:p w:rsidR="00000000" w:rsidDel="00000000" w:rsidP="00000000" w:rsidRDefault="00000000" w:rsidRPr="00000000" w14:paraId="00000022">
      <w:pPr>
        <w:rPr/>
      </w:pPr>
      <w:r w:rsidDel="00000000" w:rsidR="00000000" w:rsidRPr="00000000">
        <w:rPr>
          <w:rtl w:val="0"/>
        </w:rPr>
        <w:t xml:space="preserve">Le destinataire peut faire ensuite </w:t>
      </w:r>
      <w:r w:rsidDel="00000000" w:rsidR="00000000" w:rsidRPr="00000000">
        <w:rPr>
          <w:highlight w:val="yellow"/>
          <w:rtl w:val="0"/>
        </w:rPr>
        <w:t xml:space="preserve">réapparaître</w:t>
      </w:r>
      <w:r w:rsidDel="00000000" w:rsidR="00000000" w:rsidRPr="00000000">
        <w:rPr>
          <w:rtl w:val="0"/>
        </w:rPr>
        <w:t xml:space="preserve"> le message en le couvrant </w:t>
      </w:r>
      <w:r w:rsidDel="00000000" w:rsidR="00000000" w:rsidRPr="00000000">
        <w:rPr>
          <w:highlight w:val="yellow"/>
          <w:rtl w:val="0"/>
        </w:rPr>
        <w:t xml:space="preserve">d’eau oxygénée</w:t>
      </w:r>
      <w:r w:rsidDel="00000000" w:rsidR="00000000" w:rsidRPr="00000000">
        <w:rPr>
          <w:rtl w:val="0"/>
        </w:rPr>
        <w:t xml:space="preserve">. Il se produit alors une </w:t>
      </w:r>
      <w:r w:rsidDel="00000000" w:rsidR="00000000" w:rsidRPr="00000000">
        <w:rPr>
          <w:highlight w:val="yellow"/>
          <w:rtl w:val="0"/>
        </w:rPr>
        <w:t xml:space="preserve">réaction entre les ions iodure incolores et le peroxyde d’hydrogène contenu dans l’eau oxygénée</w:t>
      </w:r>
      <w:r w:rsidDel="00000000" w:rsidR="00000000" w:rsidRPr="00000000">
        <w:rPr>
          <w:rtl w:val="0"/>
        </w:rPr>
        <w:t xml:space="preserve">. Il se forme, entre autres, du </w:t>
      </w:r>
      <w:r w:rsidDel="00000000" w:rsidR="00000000" w:rsidRPr="00000000">
        <w:rPr>
          <w:highlight w:val="yellow"/>
          <w:rtl w:val="0"/>
        </w:rPr>
        <w:t xml:space="preserve">diiode de couleur brune</w:t>
      </w:r>
      <w:r w:rsidDel="00000000" w:rsidR="00000000" w:rsidRPr="00000000">
        <w:rPr>
          <w:rtl w:val="0"/>
        </w:rPr>
        <w:t xml:space="preserve">.</w:t>
      </w:r>
    </w:p>
    <w:p w:rsidR="00000000" w:rsidDel="00000000" w:rsidP="00000000" w:rsidRDefault="00000000" w:rsidRPr="00000000" w14:paraId="00000023">
      <w:pPr>
        <w:rPr/>
      </w:pPr>
      <w:r w:rsidDel="00000000" w:rsidR="00000000" w:rsidRPr="00000000">
        <w:rPr>
          <w:rtl w:val="0"/>
        </w:rPr>
        <w:t xml:space="preserve">Cette réaction est </w:t>
      </w:r>
      <w:r w:rsidDel="00000000" w:rsidR="00000000" w:rsidRPr="00000000">
        <w:rPr>
          <w:highlight w:val="yellow"/>
          <w:rtl w:val="0"/>
        </w:rPr>
        <w:t xml:space="preserve">lente</w:t>
      </w:r>
      <w:r w:rsidDel="00000000" w:rsidR="00000000" w:rsidRPr="00000000">
        <w:rPr>
          <w:rtl w:val="0"/>
        </w:rPr>
        <w:t xml:space="preserve">. Il est cependant possible d’en augmenter la vitesse en modifiant certains paramètres appelés </w:t>
      </w:r>
      <w:r w:rsidDel="00000000" w:rsidR="00000000" w:rsidRPr="00000000">
        <w:rPr>
          <w:highlight w:val="yellow"/>
          <w:rtl w:val="0"/>
        </w:rPr>
        <w:t xml:space="preserve">facteurs cinétiques</w:t>
      </w:r>
      <w:r w:rsidDel="00000000" w:rsidR="00000000" w:rsidRPr="00000000">
        <w:rPr>
          <w:rtl w:val="0"/>
        </w:rPr>
        <w:t xml:space="preserve">.</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Le but de cette épreuve est de montrer l’</w:t>
      </w:r>
      <w:r w:rsidDel="00000000" w:rsidR="00000000" w:rsidRPr="00000000">
        <w:rPr>
          <w:rFonts w:ascii="Arial" w:cs="Arial" w:eastAsia="Arial" w:hAnsi="Arial"/>
          <w:b w:val="1"/>
          <w:i w:val="1"/>
          <w:smallCaps w:val="0"/>
          <w:strike w:val="0"/>
          <w:color w:val="000000"/>
          <w:sz w:val="24"/>
          <w:szCs w:val="24"/>
          <w:highlight w:val="yellow"/>
          <w:u w:val="none"/>
          <w:vertAlign w:val="baseline"/>
          <w:rtl w:val="0"/>
        </w:rPr>
        <w:t xml:space="preserve">influence</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 d’un facteur cinétique sur la réaction entre les ions iodure et le peroxyde d’hydrogène.</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INFORMATIONS MISES À DISPOSITION DU CANDIDAT</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L’eau oxygénée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L’eau oxygénée est une solution aqueuse de </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peroxyde d’hydrogène H</w:t>
      </w:r>
      <w:r w:rsidDel="00000000" w:rsidR="00000000" w:rsidRPr="00000000">
        <w:rPr>
          <w:rFonts w:ascii="Arial" w:cs="Arial" w:eastAsia="Arial" w:hAnsi="Arial"/>
          <w:b w:val="0"/>
          <w:i w:val="0"/>
          <w:smallCaps w:val="0"/>
          <w:strike w:val="0"/>
          <w:color w:val="000000"/>
          <w:sz w:val="20"/>
          <w:szCs w:val="20"/>
          <w:highlight w:val="yellow"/>
          <w:u w:val="none"/>
          <w:vertAlign w:val="subscript"/>
          <w:rtl w:val="0"/>
        </w:rPr>
        <w:t xml:space="preserve">2</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O</w:t>
      </w:r>
      <w:r w:rsidDel="00000000" w:rsidR="00000000" w:rsidRPr="00000000">
        <w:rPr>
          <w:rFonts w:ascii="Arial" w:cs="Arial" w:eastAsia="Arial" w:hAnsi="Arial"/>
          <w:b w:val="0"/>
          <w:i w:val="0"/>
          <w:smallCaps w:val="0"/>
          <w:strike w:val="0"/>
          <w:color w:val="000000"/>
          <w:sz w:val="20"/>
          <w:szCs w:val="20"/>
          <w:highlight w:val="yellow"/>
          <w:u w:val="none"/>
          <w:vertAlign w:val="subscript"/>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(aq).</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Elle est utilisée comme antiseptique, agent de blanchiment ou </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révélateur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certaines encres sympathiques.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Réaction chimique entre les ions iodure et le peroxyde d’hydrogène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2">
      <w:pPr>
        <w:rPr>
          <w:color w:val="000000"/>
        </w:rPr>
      </w:pPr>
      <w:r w:rsidDel="00000000" w:rsidR="00000000" w:rsidRPr="00000000">
        <w:rPr>
          <w:rtl w:val="0"/>
        </w:rPr>
      </w:r>
    </w:p>
    <w:p w:rsidR="00000000" w:rsidDel="00000000" w:rsidP="00000000" w:rsidRDefault="00000000" w:rsidRPr="00000000" w14:paraId="00000033">
      <w:pPr>
        <w:rPr>
          <w:color w:val="000000"/>
        </w:rPr>
      </w:pPr>
      <w:r w:rsidDel="00000000" w:rsidR="00000000" w:rsidRPr="00000000">
        <w:rPr>
          <w:color w:val="000000"/>
          <w:rtl w:val="0"/>
        </w:rPr>
        <w:t xml:space="preserve">La réaction entre les ions iodure I</w:t>
      </w:r>
      <w:r w:rsidDel="00000000" w:rsidR="00000000" w:rsidRPr="00000000">
        <w:rPr>
          <w:color w:val="000000"/>
          <w:vertAlign w:val="superscript"/>
          <w:rtl w:val="0"/>
        </w:rPr>
        <w:t xml:space="preserve">–</w:t>
      </w:r>
      <w:r w:rsidDel="00000000" w:rsidR="00000000" w:rsidRPr="00000000">
        <w:rPr>
          <w:color w:val="000000"/>
          <w:rtl w:val="0"/>
        </w:rPr>
        <w:t xml:space="preserve"> </w:t>
      </w:r>
      <m:oMath>
        <m:r>
          <w:rPr>
            <w:rFonts w:ascii="Cambria Math" w:cs="Cambria Math" w:eastAsia="Cambria Math" w:hAnsi="Cambria Math"/>
            <w:color w:val="000000"/>
          </w:rPr>
          <m:t xml:space="preserve">Mn</m:t>
        </m:r>
        <m:sSubSup>
          <m:sSubSupPr>
            <m:ctrlPr>
              <w:rPr>
                <w:rFonts w:ascii="Cambria Math" w:cs="Cambria Math" w:eastAsia="Cambria Math" w:hAnsi="Cambria Math"/>
                <w:color w:val="000000"/>
              </w:rPr>
            </m:ctrlPr>
          </m:sSubSupPr>
          <m:e>
            <m:r>
              <w:rPr>
                <w:rFonts w:ascii="Cambria Math" w:cs="Cambria Math" w:eastAsia="Cambria Math" w:hAnsi="Cambria Math"/>
                <w:color w:val="000000"/>
              </w:rPr>
              <m:t xml:space="preserve">O</m:t>
            </m:r>
          </m:e>
          <m:sub>
            <m:r>
              <w:rPr>
                <w:rFonts w:ascii="Cambria Math" w:cs="Cambria Math" w:eastAsia="Cambria Math" w:hAnsi="Cambria Math"/>
                <w:color w:val="000000"/>
              </w:rPr>
              <m:t xml:space="preserve">4</m:t>
            </m:r>
          </m:sub>
          <m:sup>
            <m:r>
              <w:rPr>
                <w:rFonts w:ascii="Cambria Math" w:cs="Cambria Math" w:eastAsia="Cambria Math" w:hAnsi="Cambria Math"/>
                <w:color w:val="000000"/>
              </w:rPr>
              <m:t xml:space="preserve">-</m:t>
            </m:r>
          </m:sup>
        </m:sSubSup>
      </m:oMath>
      <w:r w:rsidDel="00000000" w:rsidR="00000000" w:rsidRPr="00000000">
        <w:rPr>
          <w:color w:val="000000"/>
          <w:rtl w:val="0"/>
        </w:rPr>
        <w:t xml:space="preserve">et le peroxyde d’hydrogène H</w:t>
      </w:r>
      <w:r w:rsidDel="00000000" w:rsidR="00000000" w:rsidRPr="00000000">
        <w:rPr>
          <w:color w:val="000000"/>
          <w:vertAlign w:val="subscript"/>
          <w:rtl w:val="0"/>
        </w:rPr>
        <w:t xml:space="preserve">2</w:t>
      </w:r>
      <w:r w:rsidDel="00000000" w:rsidR="00000000" w:rsidRPr="00000000">
        <w:rPr>
          <w:color w:val="000000"/>
          <w:rtl w:val="0"/>
        </w:rPr>
        <w:t xml:space="preserve">O</w:t>
      </w:r>
      <w:r w:rsidDel="00000000" w:rsidR="00000000" w:rsidRPr="00000000">
        <w:rPr>
          <w:color w:val="000000"/>
          <w:vertAlign w:val="subscript"/>
          <w:rtl w:val="0"/>
        </w:rPr>
        <w:t xml:space="preserve">2</w:t>
      </w:r>
      <w:r w:rsidDel="00000000" w:rsidR="00000000" w:rsidRPr="00000000">
        <w:rPr>
          <w:color w:val="000000"/>
          <w:rtl w:val="0"/>
        </w:rPr>
        <w:t xml:space="preserve"> en milieu acide est une réaction </w:t>
      </w:r>
      <w:r w:rsidDel="00000000" w:rsidR="00000000" w:rsidRPr="00000000">
        <w:rPr>
          <w:color w:val="000000"/>
          <w:highlight w:val="yellow"/>
          <w:rtl w:val="0"/>
        </w:rPr>
        <w:t xml:space="preserve">totale</w:t>
      </w:r>
      <w:r w:rsidDel="00000000" w:rsidR="00000000" w:rsidRPr="00000000">
        <w:rPr>
          <w:color w:val="000000"/>
          <w:rtl w:val="0"/>
        </w:rPr>
        <w:t xml:space="preserve"> qui est</w:t>
      </w:r>
      <w:r w:rsidDel="00000000" w:rsidR="00000000" w:rsidRPr="00000000">
        <w:rPr>
          <w:rtl w:val="0"/>
        </w:rPr>
        <w:t xml:space="preserve"> </w:t>
      </w:r>
      <w:r w:rsidDel="00000000" w:rsidR="00000000" w:rsidRPr="00000000">
        <w:rPr>
          <w:color w:val="000000"/>
          <w:rtl w:val="0"/>
        </w:rPr>
        <w:t xml:space="preserve">modélisée par l’équation suivante :</w:t>
      </w:r>
    </w:p>
    <w:p w:rsidR="00000000" w:rsidDel="00000000" w:rsidP="00000000" w:rsidRDefault="00000000" w:rsidRPr="00000000" w14:paraId="00000034">
      <w:pPr>
        <w:rPr>
          <w:color w:val="000000"/>
        </w:rPr>
      </w:pPr>
      <w:r w:rsidDel="00000000" w:rsidR="00000000" w:rsidRPr="00000000">
        <w:rPr>
          <w:rtl w:val="0"/>
        </w:rPr>
      </w:r>
    </w:p>
    <w:p w:rsidR="00000000" w:rsidDel="00000000" w:rsidP="00000000" w:rsidRDefault="00000000" w:rsidRPr="00000000" w14:paraId="00000035">
      <w:pPr>
        <w:jc w:val="center"/>
        <w:rPr>
          <w:color w:val="000000"/>
          <w:highlight w:val="yellow"/>
        </w:rPr>
      </w:pPr>
      <m:oMath>
        <m:r>
          <w:rPr>
            <w:color w:val="000000"/>
            <w:highlight w:val="yellow"/>
          </w:rPr>
          <m:t xml:space="preserve">2 </m:t>
        </m:r>
        <m:sSup>
          <m:sSupPr>
            <m:ctrlPr>
              <w:rPr>
                <w:color w:val="000000"/>
                <w:highlight w:val="yellow"/>
              </w:rPr>
            </m:ctrlPr>
          </m:sSupPr>
          <m:e>
            <m:r>
              <w:rPr>
                <w:color w:val="000000"/>
                <w:highlight w:val="yellow"/>
              </w:rPr>
              <m:t xml:space="preserve">I</m:t>
            </m:r>
          </m:e>
          <m:sup>
            <m:r>
              <w:rPr>
                <w:color w:val="000000"/>
                <w:highlight w:val="yellow"/>
              </w:rPr>
              <m:t xml:space="preserve">– </m:t>
            </m:r>
          </m:sup>
        </m:sSup>
        <m:d>
          <m:dPr>
            <m:begChr m:val="("/>
            <m:endChr m:val=")"/>
            <m:ctrlPr>
              <w:rPr>
                <w:color w:val="000000"/>
                <w:highlight w:val="yellow"/>
              </w:rPr>
            </m:ctrlPr>
          </m:dPr>
          <m:e>
            <m:r>
              <w:rPr>
                <w:color w:val="000000"/>
                <w:highlight w:val="yellow"/>
              </w:rPr>
              <m:t xml:space="preserve">aq</m:t>
            </m:r>
          </m:e>
        </m:d>
        <m:r>
          <w:rPr>
            <w:color w:val="000000"/>
            <w:highlight w:val="yellow"/>
          </w:rPr>
          <m:t xml:space="preserve"> +  </m:t>
        </m:r>
        <m:sSub>
          <m:sSubPr>
            <m:ctrlPr>
              <w:rPr>
                <w:color w:val="000000"/>
                <w:highlight w:val="yellow"/>
              </w:rPr>
            </m:ctrlPr>
          </m:sSubPr>
          <m:e>
            <m:r>
              <w:rPr>
                <w:color w:val="000000"/>
                <w:highlight w:val="yellow"/>
              </w:rPr>
              <m:t xml:space="preserve">H</m:t>
            </m:r>
          </m:e>
          <m:sub>
            <m:r>
              <w:rPr>
                <w:color w:val="000000"/>
                <w:highlight w:val="yellow"/>
              </w:rPr>
              <m:t xml:space="preserve">2</m:t>
            </m:r>
          </m:sub>
        </m:sSub>
        <m:sSub>
          <m:sSubPr>
            <m:ctrlPr>
              <w:rPr>
                <w:color w:val="000000"/>
                <w:highlight w:val="yellow"/>
              </w:rPr>
            </m:ctrlPr>
          </m:sSubPr>
          <m:e>
            <m:r>
              <w:rPr>
                <w:color w:val="000000"/>
                <w:highlight w:val="yellow"/>
              </w:rPr>
              <m:t xml:space="preserve">O</m:t>
            </m:r>
          </m:e>
          <m:sub>
            <m:r>
              <w:rPr>
                <w:color w:val="000000"/>
                <w:highlight w:val="yellow"/>
              </w:rPr>
              <m:t xml:space="preserve">2</m:t>
            </m:r>
          </m:sub>
        </m:sSub>
        <m:d>
          <m:dPr>
            <m:begChr m:val="("/>
            <m:endChr m:val=")"/>
            <m:ctrlPr>
              <w:rPr>
                <w:color w:val="000000"/>
                <w:highlight w:val="yellow"/>
              </w:rPr>
            </m:ctrlPr>
          </m:dPr>
          <m:e>
            <m:r>
              <w:rPr>
                <w:color w:val="000000"/>
                <w:highlight w:val="yellow"/>
              </w:rPr>
              <m:t xml:space="preserve">aq</m:t>
            </m:r>
          </m:e>
        </m:d>
        <m:r>
          <w:rPr>
            <w:color w:val="000000"/>
            <w:highlight w:val="yellow"/>
          </w:rPr>
          <m:t xml:space="preserve"> + 2 </m:t>
        </m:r>
        <m:sSup>
          <m:sSupPr>
            <m:ctrlPr>
              <w:rPr>
                <w:color w:val="000000"/>
                <w:highlight w:val="yellow"/>
              </w:rPr>
            </m:ctrlPr>
          </m:sSupPr>
          <m:e>
            <m:r>
              <w:rPr>
                <w:color w:val="000000"/>
                <w:highlight w:val="yellow"/>
              </w:rPr>
              <m:t xml:space="preserve">H</m:t>
            </m:r>
          </m:e>
          <m:sup>
            <m:r>
              <w:rPr>
                <w:color w:val="000000"/>
                <w:highlight w:val="yellow"/>
              </w:rPr>
              <m:t xml:space="preserve">+</m:t>
            </m:r>
          </m:sup>
        </m:sSup>
        <m:d>
          <m:dPr>
            <m:begChr m:val="("/>
            <m:endChr m:val=")"/>
            <m:ctrlPr>
              <w:rPr>
                <w:color w:val="000000"/>
                <w:highlight w:val="yellow"/>
              </w:rPr>
            </m:ctrlPr>
          </m:dPr>
          <m:e>
            <m:r>
              <w:rPr>
                <w:color w:val="000000"/>
                <w:highlight w:val="yellow"/>
              </w:rPr>
              <m:t xml:space="preserve">aq</m:t>
            </m:r>
          </m:e>
        </m:d>
        <m:r>
          <w:rPr>
            <w:color w:val="000000"/>
            <w:highlight w:val="yellow"/>
          </w:rPr>
          <m:t xml:space="preserve"> →   </m:t>
        </m:r>
        <m:sSub>
          <m:sSubPr>
            <m:ctrlPr>
              <w:rPr>
                <w:color w:val="000000"/>
                <w:highlight w:val="yellow"/>
              </w:rPr>
            </m:ctrlPr>
          </m:sSubPr>
          <m:e>
            <m:r>
              <w:rPr>
                <w:color w:val="000000"/>
                <w:highlight w:val="yellow"/>
              </w:rPr>
              <m:t xml:space="preserve">I</m:t>
            </m:r>
          </m:e>
          <m:sub>
            <m:r>
              <w:rPr>
                <w:color w:val="000000"/>
                <w:highlight w:val="yellow"/>
              </w:rPr>
              <m:t xml:space="preserve">2</m:t>
            </m:r>
          </m:sub>
        </m:sSub>
        <m:d>
          <m:dPr>
            <m:begChr m:val="("/>
            <m:endChr m:val=")"/>
            <m:ctrlPr>
              <w:rPr>
                <w:color w:val="000000"/>
                <w:highlight w:val="yellow"/>
              </w:rPr>
            </m:ctrlPr>
          </m:dPr>
          <m:e>
            <m:r>
              <w:rPr>
                <w:color w:val="000000"/>
                <w:highlight w:val="yellow"/>
              </w:rPr>
              <m:t xml:space="preserve">aq</m:t>
            </m:r>
          </m:e>
        </m:d>
        <m:r>
          <w:rPr>
            <w:color w:val="000000"/>
            <w:highlight w:val="yellow"/>
          </w:rPr>
          <m:t xml:space="preserve"> + 2 </m:t>
        </m:r>
        <m:sSub>
          <m:sSubPr>
            <m:ctrlPr>
              <w:rPr>
                <w:color w:val="000000"/>
                <w:highlight w:val="yellow"/>
              </w:rPr>
            </m:ctrlPr>
          </m:sSubPr>
          <m:e>
            <m:r>
              <w:rPr>
                <w:color w:val="000000"/>
                <w:highlight w:val="yellow"/>
              </w:rPr>
              <m:t xml:space="preserve">H</m:t>
            </m:r>
          </m:e>
          <m:sub>
            <m:r>
              <w:rPr>
                <w:color w:val="000000"/>
                <w:highlight w:val="yellow"/>
              </w:rPr>
              <m:t xml:space="preserve">2</m:t>
            </m:r>
          </m:sub>
        </m:sSub>
        <m:r>
          <w:rPr>
            <w:color w:val="000000"/>
            <w:highlight w:val="yellow"/>
          </w:rPr>
          <m:t xml:space="preserve">O (</m:t>
        </m:r>
        <m:r>
          <w:rPr>
            <w:rFonts w:ascii="Pacifico" w:cs="Pacifico" w:eastAsia="Pacifico" w:hAnsi="Pacifico"/>
            <w:highlight w:val="yellow"/>
          </w:rPr>
          <m:t xml:space="preserve">l</m:t>
        </m:r>
        <m:r>
          <w:rPr>
            <w:color w:val="000000"/>
            <w:highlight w:val="yellow"/>
          </w:rPr>
          <m:t xml:space="preserve">)</m:t>
        </m:r>
      </m:oMath>
      <w:r w:rsidDel="00000000" w:rsidR="00000000" w:rsidRPr="00000000">
        <w:rPr>
          <w:rtl w:val="0"/>
        </w:rPr>
      </w:r>
    </w:p>
    <w:p w:rsidR="00000000" w:rsidDel="00000000" w:rsidP="00000000" w:rsidRDefault="00000000" w:rsidRPr="00000000" w14:paraId="00000036">
      <w:pPr>
        <w:rPr>
          <w:color w:val="000000"/>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Toutes les espèces chimiques intervenant dans cette réaction sont </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incolores en solution aqueuse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à l’exception du </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diiode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qui confère une couleur </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jaune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à la solution.</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Quelques données utiles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64"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30j0zll" w:id="1"/>
      <w:bookmarkEnd w:id="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Une solution aqueuse de diiode possède un maximum d’absorption pour la longueur d’onde </w:t>
      </w:r>
      <w:r w:rsidDel="00000000" w:rsidR="00000000" w:rsidRPr="00000000">
        <w:rPr>
          <w:rFonts w:ascii="Noto Sans Symbols" w:cs="Noto Sans Symbols" w:eastAsia="Noto Sans Symbols" w:hAnsi="Noto Sans Symbols"/>
          <w:b w:val="0"/>
          <w:i w:val="0"/>
          <w:smallCaps w:val="0"/>
          <w:strike w:val="0"/>
          <w:color w:val="000000"/>
          <w:sz w:val="20"/>
          <w:szCs w:val="20"/>
          <w:highlight w:val="yellow"/>
          <w:u w:val="none"/>
          <w:vertAlign w:val="baseline"/>
          <w:rtl w:val="0"/>
        </w:rPr>
        <w:t xml:space="preserve">λ</w:t>
      </w:r>
      <w:r w:rsidDel="00000000" w:rsidR="00000000" w:rsidRPr="00000000">
        <w:rPr>
          <w:rFonts w:ascii="Arial" w:cs="Arial" w:eastAsia="Arial" w:hAnsi="Arial"/>
          <w:b w:val="0"/>
          <w:i w:val="0"/>
          <w:smallCaps w:val="0"/>
          <w:strike w:val="0"/>
          <w:color w:val="000000"/>
          <w:sz w:val="20"/>
          <w:szCs w:val="20"/>
          <w:highlight w:val="yellow"/>
          <w:u w:val="none"/>
          <w:vertAlign w:val="subscript"/>
          <w:rtl w:val="0"/>
        </w:rPr>
        <w:t xml:space="preserve">max</w:t>
      </w:r>
      <w:r w:rsidDel="00000000" w:rsidR="00000000" w:rsidRPr="00000000">
        <w:rPr>
          <w:rFonts w:ascii="Arial" w:cs="Arial" w:eastAsia="Arial" w:hAnsi="Arial"/>
          <w:b w:val="0"/>
          <w:i w:val="1"/>
          <w:smallCaps w:val="0"/>
          <w:strike w:val="0"/>
          <w:color w:val="000000"/>
          <w:sz w:val="20"/>
          <w:szCs w:val="20"/>
          <w:highlight w:val="yellow"/>
          <w:u w:val="none"/>
          <w:vertAlign w:val="baseline"/>
          <w:rtl w:val="0"/>
        </w:rPr>
        <w:t xml:space="preserve"> </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 400 nm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0"/>
        </w:tabs>
        <w:spacing w:after="120" w:before="0" w:line="264"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 temps de demi-réaction est la durée au bout de laquelle l’avancement de la réaction est égal à la </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moitié</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de la valeur de l’avancement final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0"/>
        </w:tabs>
        <w:spacing w:after="120" w:before="0" w:line="264"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Sécurité :</w:t>
      </w:r>
    </w:p>
    <w:p w:rsidR="00000000" w:rsidDel="00000000" w:rsidP="00000000" w:rsidRDefault="00000000" w:rsidRPr="00000000" w14:paraId="0000003E">
      <w:pPr>
        <w:spacing w:after="120" w:lineRule="auto"/>
        <w:rPr>
          <w:color w:val="000000"/>
        </w:rPr>
      </w:pPr>
      <w:r w:rsidDel="00000000" w:rsidR="00000000" w:rsidRPr="00000000">
        <w:rPr>
          <w:color w:val="000000"/>
          <w:rtl w:val="0"/>
        </w:rPr>
        <w:tab/>
        <w:t xml:space="preserve">Les solutions d’acide sulfurique doivent être manipulées avec des </w:t>
      </w:r>
      <w:r w:rsidDel="00000000" w:rsidR="00000000" w:rsidRPr="00000000">
        <w:rPr>
          <w:color w:val="000000"/>
          <w:highlight w:val="yellow"/>
          <w:rtl w:val="0"/>
        </w:rPr>
        <w:t xml:space="preserve">lunettes</w:t>
      </w:r>
      <w:r w:rsidDel="00000000" w:rsidR="00000000" w:rsidRPr="00000000">
        <w:rPr>
          <w:color w:val="000000"/>
          <w:rtl w:val="0"/>
        </w:rPr>
        <w:t xml:space="preserve"> et des </w:t>
      </w:r>
      <w:r w:rsidDel="00000000" w:rsidR="00000000" w:rsidRPr="00000000">
        <w:rPr>
          <w:color w:val="000000"/>
          <w:highlight w:val="yellow"/>
          <w:rtl w:val="0"/>
        </w:rPr>
        <w:t xml:space="preserve">gants</w:t>
      </w:r>
      <w:r w:rsidDel="00000000" w:rsidR="00000000" w:rsidRPr="00000000">
        <w:rPr>
          <w:color w:val="000000"/>
          <w:rtl w:val="0"/>
        </w:rPr>
        <w:t xml:space="preserve">.</w:t>
      </w:r>
      <w:r w:rsidDel="00000000" w:rsidR="00000000" w:rsidRPr="00000000">
        <w:drawing>
          <wp:anchor allowOverlap="1" behindDoc="1" distB="0" distT="0" distL="0" distR="0" hidden="0" layoutInCell="1" locked="0" relativeHeight="0" simplePos="0">
            <wp:simplePos x="0" y="0"/>
            <wp:positionH relativeFrom="column">
              <wp:posOffset>5553075</wp:posOffset>
            </wp:positionH>
            <wp:positionV relativeFrom="paragraph">
              <wp:posOffset>59653</wp:posOffset>
            </wp:positionV>
            <wp:extent cx="395785" cy="395785"/>
            <wp:effectExtent b="0" l="0" r="0" t="0"/>
            <wp:wrapNone/>
            <wp:docPr descr="Description : rondflamen170" id="2" name="image2.jpg"/>
            <a:graphic>
              <a:graphicData uri="http://schemas.openxmlformats.org/drawingml/2006/picture">
                <pic:pic>
                  <pic:nvPicPr>
                    <pic:cNvPr descr="Description : rondflamen170" id="0" name="image2.jpg"/>
                    <pic:cNvPicPr preferRelativeResize="0"/>
                  </pic:nvPicPr>
                  <pic:blipFill>
                    <a:blip r:embed="rId9"/>
                    <a:srcRect b="0" l="0" r="0" t="0"/>
                    <a:stretch>
                      <a:fillRect/>
                    </a:stretch>
                  </pic:blipFill>
                  <pic:spPr>
                    <a:xfrm>
                      <a:off x="0" y="0"/>
                      <a:ext cx="395785" cy="395785"/>
                    </a:xfrm>
                    <a:prstGeom prst="rect"/>
                    <a:ln/>
                  </pic:spPr>
                </pic:pic>
              </a:graphicData>
            </a:graphic>
          </wp:anchor>
        </w:drawing>
      </w:r>
      <w:r w:rsidDel="00000000" w:rsidR="00000000" w:rsidRPr="00000000">
        <w:pict>
          <v:shape id="_x0000_s1026" style="position:absolute;left:0;text-align:left;margin-left:473.25pt;margin-top:4.44992125984252pt;width:30.05pt;height:30.75pt;z-index:-251658240;mso-wrap-edited:f;mso-width-percent:0;mso-height-percent:0;mso-position-horizontal-relative:margin;mso-position-vertical-relative:text;mso-width-percent:0;mso-height-percent:0;mso-width-relative:page;mso-height-relative:page;mso-position-horizontal:absolute;mso-position-vertical:absolute;" alt="" wrapcoords="-697 0 -697 20925 21600 20925 21600 0 -697 0" type="#_x0000_t75">
            <v:imagedata r:id="rId1" o:title=""/>
          </v:shape>
          <o:OLEObject DrawAspect="Content" r:id="rId2" ObjectID="_1715026282" ProgID="PBrush" ShapeID="_x0000_s1026" Type="Embed"/>
        </w:pict>
      </w:r>
    </w:p>
    <w:p w:rsidR="00000000" w:rsidDel="00000000" w:rsidP="00000000" w:rsidRDefault="00000000" w:rsidRPr="00000000" w14:paraId="0000003F">
      <w:pPr>
        <w:ind w:firstLine="708"/>
        <w:rPr>
          <w:color w:val="000000"/>
          <w:highlight w:val="yellow"/>
        </w:rPr>
      </w:pPr>
      <w:r w:rsidDel="00000000" w:rsidR="00000000" w:rsidRPr="00000000">
        <w:rPr>
          <w:color w:val="000000"/>
          <w:rtl w:val="0"/>
        </w:rPr>
        <w:t xml:space="preserve">Les pictogrammes associés à une solution de peroxyde d’hydrogène sont les suivants :</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TRAVAIL À EFFECTUER </w:t>
      </w:r>
    </w:p>
    <w:p w:rsidR="00000000" w:rsidDel="00000000" w:rsidP="00000000" w:rsidRDefault="00000000" w:rsidRPr="00000000" w14:paraId="00000043">
      <w:pPr>
        <w:rPr>
          <w:b w:val="1"/>
          <w:color w:val="000000"/>
          <w:u w:val="single"/>
        </w:rPr>
      </w:pPr>
      <w:r w:rsidDel="00000000" w:rsidR="00000000" w:rsidRPr="00000000">
        <w:rPr>
          <w:rtl w:val="0"/>
        </w:rPr>
      </w:r>
    </w:p>
    <w:p w:rsidR="00000000" w:rsidDel="00000000" w:rsidP="00000000" w:rsidRDefault="00000000" w:rsidRPr="00000000" w14:paraId="00000044">
      <w:pPr>
        <w:pStyle w:val="Heading2"/>
        <w:numPr>
          <w:ilvl w:val="0"/>
          <w:numId w:val="3"/>
        </w:numPr>
        <w:ind w:left="360" w:hanging="360"/>
        <w:rPr>
          <w:b w:val="0"/>
          <w:color w:val="000000"/>
        </w:rPr>
      </w:pPr>
      <w:bookmarkStart w:colFirst="0" w:colLast="0" w:name="_heading=h.1fob9te" w:id="2"/>
      <w:bookmarkEnd w:id="2"/>
      <w:r w:rsidDel="00000000" w:rsidR="00000000" w:rsidRPr="00000000">
        <w:rPr>
          <w:color w:val="000000"/>
          <w:rtl w:val="0"/>
        </w:rPr>
        <w:t xml:space="preserve">Modification d’un facteur cinétique </w:t>
      </w:r>
      <w:r w:rsidDel="00000000" w:rsidR="00000000" w:rsidRPr="00000000">
        <w:rPr>
          <w:b w:val="0"/>
          <w:color w:val="000000"/>
          <w:rtl w:val="0"/>
        </w:rPr>
        <w:t xml:space="preserve">(10 minutes conseillées)</w:t>
      </w:r>
    </w:p>
    <w:p w:rsidR="00000000" w:rsidDel="00000000" w:rsidP="00000000" w:rsidRDefault="00000000" w:rsidRPr="00000000" w14:paraId="00000045">
      <w:pPr>
        <w:rPr>
          <w:color w:val="000000"/>
        </w:rPr>
      </w:pPr>
      <w:r w:rsidDel="00000000" w:rsidR="00000000" w:rsidRPr="00000000">
        <w:rPr>
          <w:rtl w:val="0"/>
        </w:rPr>
      </w:r>
    </w:p>
    <w:p w:rsidR="00000000" w:rsidDel="00000000" w:rsidP="00000000" w:rsidRDefault="00000000" w:rsidRPr="00000000" w14:paraId="00000046">
      <w:pPr>
        <w:spacing w:line="276" w:lineRule="auto"/>
        <w:rPr>
          <w:color w:val="ff0000"/>
        </w:rPr>
      </w:pPr>
      <w:bookmarkStart w:colFirst="0" w:colLast="0" w:name="_heading=h.3znysh7" w:id="3"/>
      <w:bookmarkEnd w:id="3"/>
      <w:r w:rsidDel="00000000" w:rsidR="00000000" w:rsidRPr="00000000">
        <w:rPr>
          <w:color w:val="000000"/>
          <w:rtl w:val="0"/>
        </w:rPr>
        <w:t xml:space="preserve">Le temps de demi-réaction de la transformation entre les ions iodure et le peroxyde d’hydrogène à une température </w:t>
      </w:r>
      <w:r w:rsidDel="00000000" w:rsidR="00000000" w:rsidRPr="00000000">
        <w:rPr>
          <w:i w:val="1"/>
          <w:color w:val="000000"/>
          <w:rtl w:val="0"/>
        </w:rPr>
        <w:t xml:space="preserve">T</w:t>
      </w:r>
      <w:r w:rsidDel="00000000" w:rsidR="00000000" w:rsidRPr="00000000">
        <w:rPr>
          <w:color w:val="000000"/>
          <w:rtl w:val="0"/>
        </w:rPr>
        <w:t xml:space="preserve"> = … C, pour un mélange constitué de :</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284"/>
        </w:tabs>
        <w:spacing w:after="0" w:before="0" w:line="276" w:lineRule="auto"/>
        <w:ind w:left="567" w:right="0" w:hanging="283"/>
        <w:jc w:val="left"/>
        <w:rPr>
          <w:rFonts w:ascii="Arial" w:cs="Arial" w:eastAsia="Arial" w:hAnsi="Arial"/>
          <w:b w:val="0"/>
          <w:i w:val="0"/>
          <w:smallCaps w:val="0"/>
          <w:strike w:val="0"/>
          <w:color w:val="000000"/>
          <w:sz w:val="20"/>
          <w:szCs w:val="20"/>
          <w:u w:val="none"/>
          <w:shd w:fill="auto" w:val="clear"/>
          <w:vertAlign w:val="baseline"/>
        </w:rPr>
      </w:pPr>
      <w:bookmarkStart w:colFirst="0" w:colLast="0" w:name="_heading=h.2et92p0" w:id="4"/>
      <w:bookmarkEnd w:id="4"/>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5,0 mL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d’une solution de peroxyde d’hydrogène de concentration </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1,0×10</w:t>
      </w:r>
      <w:r w:rsidDel="00000000" w:rsidR="00000000" w:rsidRPr="00000000">
        <w:rPr>
          <w:rFonts w:ascii="Arial" w:cs="Arial" w:eastAsia="Arial" w:hAnsi="Arial"/>
          <w:b w:val="0"/>
          <w:i w:val="0"/>
          <w:smallCaps w:val="0"/>
          <w:strike w:val="0"/>
          <w:color w:val="000000"/>
          <w:sz w:val="20"/>
          <w:szCs w:val="20"/>
          <w:highlight w:val="yellow"/>
          <w:u w:val="none"/>
          <w:vertAlign w:val="superscript"/>
          <w:rtl w:val="0"/>
        </w:rPr>
        <w:t xml:space="preserve">–3 </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mol·L</w:t>
      </w:r>
      <w:r w:rsidDel="00000000" w:rsidR="00000000" w:rsidRPr="00000000">
        <w:rPr>
          <w:rFonts w:ascii="Symbol" w:cs="Symbol" w:eastAsia="Symbol" w:hAnsi="Symbol"/>
          <w:b w:val="0"/>
          <w:i w:val="0"/>
          <w:smallCaps w:val="0"/>
          <w:strike w:val="0"/>
          <w:color w:val="000000"/>
          <w:sz w:val="20"/>
          <w:szCs w:val="20"/>
          <w:highlight w:val="yellow"/>
          <w:u w:val="none"/>
          <w:vertAlign w:val="superscript"/>
          <w:rtl w:val="0"/>
        </w:rPr>
        <w:t xml:space="preserve">−</w:t>
      </w:r>
      <w:r w:rsidDel="00000000" w:rsidR="00000000" w:rsidRPr="00000000">
        <w:rPr>
          <w:rFonts w:ascii="Arial" w:cs="Arial" w:eastAsia="Arial" w:hAnsi="Arial"/>
          <w:b w:val="0"/>
          <w:i w:val="0"/>
          <w:smallCaps w:val="0"/>
          <w:strike w:val="0"/>
          <w:color w:val="000000"/>
          <w:sz w:val="20"/>
          <w:szCs w:val="20"/>
          <w:highlight w:val="yellow"/>
          <w:u w:val="none"/>
          <w:vertAlign w:val="superscript"/>
          <w:rtl w:val="0"/>
        </w:rPr>
        <w:t xml:space="preserve">1</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284"/>
        </w:tabs>
        <w:spacing w:after="0" w:before="0" w:line="276" w:lineRule="auto"/>
        <w:ind w:left="567" w:right="0" w:hanging="283"/>
        <w:jc w:val="left"/>
        <w:rPr>
          <w:rFonts w:ascii="Arial" w:cs="Arial" w:eastAsia="Arial" w:hAnsi="Arial"/>
          <w:b w:val="0"/>
          <w:i w:val="0"/>
          <w:smallCaps w:val="0"/>
          <w:strike w:val="0"/>
          <w:color w:val="000000"/>
          <w:sz w:val="20"/>
          <w:szCs w:val="20"/>
          <w:highlight w:val="yellow"/>
          <w:u w:val="none"/>
          <w:vertAlign w:val="baseline"/>
        </w:rPr>
      </w:pPr>
      <w:bookmarkStart w:colFirst="0" w:colLast="0" w:name="_heading=h.tyjcwt" w:id="5"/>
      <w:bookmarkEnd w:id="5"/>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2,0 mL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d’une solution d’acide sulfurique de concentration </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1,0 mol·L</w:t>
      </w:r>
      <w:r w:rsidDel="00000000" w:rsidR="00000000" w:rsidRPr="00000000">
        <w:rPr>
          <w:rFonts w:ascii="Arial" w:cs="Arial" w:eastAsia="Arial" w:hAnsi="Arial"/>
          <w:b w:val="0"/>
          <w:i w:val="0"/>
          <w:smallCaps w:val="0"/>
          <w:strike w:val="0"/>
          <w:color w:val="000000"/>
          <w:sz w:val="20"/>
          <w:szCs w:val="20"/>
          <w:highlight w:val="yellow"/>
          <w:u w:val="none"/>
          <w:vertAlign w:val="superscript"/>
          <w:rtl w:val="0"/>
        </w:rPr>
        <w:t xml:space="preserve">–1</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284"/>
        </w:tabs>
        <w:spacing w:after="0" w:before="0" w:line="276" w:lineRule="auto"/>
        <w:ind w:left="567" w:right="0" w:hanging="283"/>
        <w:jc w:val="left"/>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5,0 mL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d’une solution d’iodure de potassium de concentration </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1,8×10</w:t>
      </w:r>
      <w:r w:rsidDel="00000000" w:rsidR="00000000" w:rsidRPr="00000000">
        <w:rPr>
          <w:rFonts w:ascii="Arial" w:cs="Arial" w:eastAsia="Arial" w:hAnsi="Arial"/>
          <w:b w:val="0"/>
          <w:i w:val="0"/>
          <w:smallCaps w:val="0"/>
          <w:strike w:val="0"/>
          <w:color w:val="000000"/>
          <w:sz w:val="20"/>
          <w:szCs w:val="20"/>
          <w:highlight w:val="yellow"/>
          <w:u w:val="none"/>
          <w:vertAlign w:val="superscript"/>
          <w:rtl w:val="0"/>
        </w:rPr>
        <w:t xml:space="preserve">–1 </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mol·L</w:t>
      </w:r>
      <w:r w:rsidDel="00000000" w:rsidR="00000000" w:rsidRPr="00000000">
        <w:rPr>
          <w:rFonts w:ascii="Symbol" w:cs="Symbol" w:eastAsia="Symbol" w:hAnsi="Symbol"/>
          <w:b w:val="0"/>
          <w:i w:val="0"/>
          <w:smallCaps w:val="0"/>
          <w:strike w:val="0"/>
          <w:color w:val="000000"/>
          <w:sz w:val="20"/>
          <w:szCs w:val="20"/>
          <w:highlight w:val="yellow"/>
          <w:u w:val="none"/>
          <w:vertAlign w:val="superscript"/>
          <w:rtl w:val="0"/>
        </w:rPr>
        <w:t xml:space="preserve">−</w:t>
      </w:r>
      <w:r w:rsidDel="00000000" w:rsidR="00000000" w:rsidRPr="00000000">
        <w:rPr>
          <w:rFonts w:ascii="Arial" w:cs="Arial" w:eastAsia="Arial" w:hAnsi="Arial"/>
          <w:b w:val="0"/>
          <w:i w:val="0"/>
          <w:smallCaps w:val="0"/>
          <w:strike w:val="0"/>
          <w:color w:val="000000"/>
          <w:sz w:val="20"/>
          <w:szCs w:val="20"/>
          <w:highlight w:val="yellow"/>
          <w:u w:val="none"/>
          <w:vertAlign w:val="superscript"/>
          <w:rtl w:val="0"/>
        </w:rPr>
        <w:t xml:space="preserve">1</w:t>
      </w:r>
      <w:r w:rsidDel="00000000" w:rsidR="00000000" w:rsidRPr="00000000">
        <w:rPr>
          <w:rtl w:val="0"/>
        </w:rPr>
      </w:r>
    </w:p>
    <w:p w:rsidR="00000000" w:rsidDel="00000000" w:rsidP="00000000" w:rsidRDefault="00000000" w:rsidRPr="00000000" w14:paraId="0000004A">
      <w:pPr>
        <w:spacing w:line="276" w:lineRule="auto"/>
        <w:rPr>
          <w:color w:val="000000"/>
        </w:rPr>
      </w:pPr>
      <w:r w:rsidDel="00000000" w:rsidR="00000000" w:rsidRPr="00000000">
        <w:rPr>
          <w:color w:val="000000"/>
          <w:rtl w:val="0"/>
        </w:rPr>
        <w:t xml:space="preserve">est égal à …….. minutes environ.</w:t>
      </w:r>
    </w:p>
    <w:p w:rsidR="00000000" w:rsidDel="00000000" w:rsidP="00000000" w:rsidRDefault="00000000" w:rsidRPr="00000000" w14:paraId="0000004B">
      <w:pPr>
        <w:rPr>
          <w:color w:val="000000"/>
          <w:sz w:val="12"/>
          <w:szCs w:val="12"/>
        </w:rPr>
      </w:pPr>
      <w:r w:rsidDel="00000000" w:rsidR="00000000" w:rsidRPr="00000000">
        <w:rPr>
          <w:rtl w:val="0"/>
        </w:rPr>
      </w:r>
    </w:p>
    <w:p w:rsidR="00000000" w:rsidDel="00000000" w:rsidP="00000000" w:rsidRDefault="00000000" w:rsidRPr="00000000" w14:paraId="0000004C">
      <w:pPr>
        <w:rPr>
          <w:color w:val="000000"/>
        </w:rPr>
      </w:pPr>
      <w:r w:rsidDel="00000000" w:rsidR="00000000" w:rsidRPr="00000000">
        <w:rPr>
          <w:color w:val="000000"/>
          <w:rtl w:val="0"/>
        </w:rPr>
        <w:t xml:space="preserve">Pour ce mélange réactionnel, le réactif </w:t>
      </w:r>
      <w:r w:rsidDel="00000000" w:rsidR="00000000" w:rsidRPr="00000000">
        <w:rPr>
          <w:color w:val="000000"/>
          <w:highlight w:val="yellow"/>
          <w:rtl w:val="0"/>
        </w:rPr>
        <w:t xml:space="preserve">limitant</w:t>
      </w:r>
      <w:r w:rsidDel="00000000" w:rsidR="00000000" w:rsidRPr="00000000">
        <w:rPr>
          <w:color w:val="000000"/>
          <w:rtl w:val="0"/>
        </w:rPr>
        <w:t xml:space="preserve"> est le </w:t>
      </w:r>
      <w:r w:rsidDel="00000000" w:rsidR="00000000" w:rsidRPr="00000000">
        <w:rPr>
          <w:color w:val="000000"/>
          <w:highlight w:val="yellow"/>
          <w:rtl w:val="0"/>
        </w:rPr>
        <w:t xml:space="preserve">peroxyde d’hydrogène</w:t>
      </w:r>
      <w:r w:rsidDel="00000000" w:rsidR="00000000" w:rsidRPr="00000000">
        <w:rPr>
          <w:color w:val="000000"/>
          <w:rtl w:val="0"/>
        </w:rPr>
        <w:t xml:space="preserve">. </w:t>
      </w:r>
    </w:p>
    <w:p w:rsidR="00000000" w:rsidDel="00000000" w:rsidP="00000000" w:rsidRDefault="00000000" w:rsidRPr="00000000" w14:paraId="0000004D">
      <w:pPr>
        <w:rPr>
          <w:sz w:val="12"/>
          <w:szCs w:val="12"/>
        </w:rPr>
      </w:pPr>
      <w:r w:rsidDel="00000000" w:rsidR="00000000" w:rsidRPr="00000000">
        <w:rPr>
          <w:rtl w:val="0"/>
        </w:rPr>
      </w:r>
    </w:p>
    <w:p w:rsidR="00000000" w:rsidDel="00000000" w:rsidP="00000000" w:rsidRDefault="00000000" w:rsidRPr="00000000" w14:paraId="0000004E">
      <w:pPr>
        <w:rPr>
          <w:color w:val="000000"/>
        </w:rPr>
      </w:pPr>
      <w:r w:rsidDel="00000000" w:rsidR="00000000" w:rsidRPr="00000000">
        <w:rPr>
          <w:rtl w:val="0"/>
        </w:rPr>
        <w:t xml:space="preserve">Proposer la modification d’un facteur cinétique afin de </w:t>
      </w:r>
      <w:r w:rsidDel="00000000" w:rsidR="00000000" w:rsidRPr="00000000">
        <w:rPr>
          <w:highlight w:val="yellow"/>
          <w:rtl w:val="0"/>
        </w:rPr>
        <w:t xml:space="preserve">diminuer</w:t>
      </w:r>
      <w:r w:rsidDel="00000000" w:rsidR="00000000" w:rsidRPr="00000000">
        <w:rPr>
          <w:rtl w:val="0"/>
        </w:rPr>
        <w:t xml:space="preserve"> le temps de demi-réaction </w:t>
      </w:r>
      <w:r w:rsidDel="00000000" w:rsidR="00000000" w:rsidRPr="00000000">
        <w:rPr>
          <w:rFonts w:ascii="Candara" w:cs="Candara" w:eastAsia="Candara" w:hAnsi="Candara"/>
          <w:i w:val="1"/>
          <w:color w:val="404040"/>
          <w:rtl w:val="0"/>
        </w:rPr>
        <w:t xml:space="preserve">(et donc faire réagir plus vite la réaction) </w:t>
      </w:r>
      <w:r w:rsidDel="00000000" w:rsidR="00000000" w:rsidRPr="00000000">
        <w:rPr>
          <w:rtl w:val="0"/>
        </w:rPr>
        <w:t xml:space="preserve">sans modifier l’avancement final, avec le matériel et les produits mis à disposition. Justifier la réponse</w:t>
      </w:r>
      <w:r w:rsidDel="00000000" w:rsidR="00000000" w:rsidRPr="00000000">
        <w:rPr>
          <w:color w:val="000000"/>
          <w:rtl w:val="0"/>
        </w:rPr>
        <w:t xml:space="preserve">.</w:t>
      </w:r>
    </w:p>
    <w:p w:rsidR="00000000" w:rsidDel="00000000" w:rsidP="00000000" w:rsidRDefault="00000000" w:rsidRPr="00000000" w14:paraId="0000004F">
      <w:pPr>
        <w:rPr>
          <w:color w:val="000000"/>
        </w:rPr>
      </w:pPr>
      <w:r w:rsidDel="00000000" w:rsidR="00000000" w:rsidRPr="00000000">
        <w:rPr>
          <w:u w:val="single"/>
          <w:rtl w:val="0"/>
        </w:rPr>
        <w:t xml:space="preserve">Remarque</w:t>
      </w:r>
      <w:r w:rsidDel="00000000" w:rsidR="00000000" w:rsidRPr="00000000">
        <w:rPr>
          <w:rtl w:val="0"/>
        </w:rPr>
        <w:t xml:space="preserve"> : on ne s’intéressera </w:t>
      </w:r>
      <w:r w:rsidDel="00000000" w:rsidR="00000000" w:rsidRPr="00000000">
        <w:rPr>
          <w:color w:val="000000"/>
          <w:rtl w:val="0"/>
        </w:rPr>
        <w:t xml:space="preserve">aux détails du protocole à mettre en œuvre qu’à la question suivante.</w:t>
      </w:r>
    </w:p>
    <w:p w:rsidR="00000000" w:rsidDel="00000000" w:rsidP="00000000" w:rsidRDefault="00000000" w:rsidRPr="00000000" w14:paraId="00000050">
      <w:pPr>
        <w:spacing w:line="480" w:lineRule="auto"/>
        <w:rPr>
          <w:color w:val="000000"/>
        </w:rPr>
      </w:pPr>
      <w:r w:rsidDel="00000000" w:rsidR="00000000" w:rsidRPr="00000000">
        <w:rPr>
          <w:rtl w:val="0"/>
        </w:rPr>
      </w:r>
    </w:p>
    <w:p w:rsidR="00000000" w:rsidDel="00000000" w:rsidP="00000000" w:rsidRDefault="00000000" w:rsidRPr="00000000" w14:paraId="00000051">
      <w:pPr>
        <w:spacing w:line="480" w:lineRule="auto"/>
        <w:jc w:val="left"/>
        <w:rPr>
          <w:rFonts w:ascii="Candara" w:cs="Candara" w:eastAsia="Candara" w:hAnsi="Candara"/>
          <w:i w:val="1"/>
          <w:color w:val="0070c0"/>
          <w:sz w:val="24"/>
          <w:szCs w:val="24"/>
        </w:rPr>
      </w:pPr>
      <w:r w:rsidDel="00000000" w:rsidR="00000000" w:rsidRPr="00000000">
        <w:rPr>
          <w:rFonts w:ascii="Candara" w:cs="Candara" w:eastAsia="Candara" w:hAnsi="Candara"/>
          <w:i w:val="1"/>
          <w:color w:val="0070c0"/>
          <w:sz w:val="24"/>
          <w:szCs w:val="24"/>
          <w:rtl w:val="0"/>
        </w:rPr>
        <w:t xml:space="preserve">On peut rajouter un catalyseur (qui n’agira pas sur l’avancement final) : ici la solution d’acide sulfurique (cependant, ce n’est pas un facteur cinétique. On pourrait aussi augmenter la concentration des réactifs (qui est un facteur cinétique ne modifiant donc pas l’avancement final) afin de diminuer le temps de demi-réaction. Mais, d’après les solutions mises à disposition, il n’y a que la présence d’un catalyseur et non de quoi modifier la concentration de la solution donc le catalyseur doit surement être la réponse attendue : ). </w:t>
      </w:r>
    </w:p>
    <w:p w:rsidR="00000000" w:rsidDel="00000000" w:rsidP="00000000" w:rsidRDefault="00000000" w:rsidRPr="00000000" w14:paraId="00000052">
      <w:pPr>
        <w:spacing w:line="480" w:lineRule="auto"/>
        <w:jc w:val="left"/>
        <w:rPr>
          <w:rFonts w:ascii="Candara" w:cs="Candara" w:eastAsia="Candara" w:hAnsi="Candara"/>
          <w:i w:val="1"/>
          <w:color w:val="0070c0"/>
          <w:sz w:val="24"/>
          <w:szCs w:val="24"/>
        </w:rPr>
      </w:pPr>
      <w:r w:rsidDel="00000000" w:rsidR="00000000" w:rsidRPr="00000000">
        <w:rPr>
          <w:rtl w:val="0"/>
        </w:rPr>
      </w:r>
    </w:p>
    <w:tbl>
      <w:tblPr>
        <w:tblStyle w:val="Table2"/>
        <w:tblW w:w="9640.0" w:type="dxa"/>
        <w:jc w:val="center"/>
        <w:tblBorders>
          <w:top w:color="000000" w:space="0" w:sz="18" w:val="single"/>
          <w:left w:color="000000" w:space="0" w:sz="18" w:val="single"/>
          <w:bottom w:color="000000" w:space="0" w:sz="18" w:val="single"/>
          <w:right w:color="000000" w:space="0" w:sz="18" w:val="single"/>
          <w:insideH w:color="000000" w:space="0" w:sz="6" w:val="single"/>
          <w:insideV w:color="000000" w:space="0" w:sz="6" w:val="single"/>
        </w:tblBorders>
        <w:tblLayout w:type="fixed"/>
        <w:tblLook w:val="0400"/>
      </w:tblPr>
      <w:tblGrid>
        <w:gridCol w:w="1418"/>
        <w:gridCol w:w="6804"/>
        <w:gridCol w:w="1418"/>
        <w:tblGridChange w:id="0">
          <w:tblGrid>
            <w:gridCol w:w="1418"/>
            <w:gridCol w:w="6804"/>
            <w:gridCol w:w="1418"/>
          </w:tblGrid>
        </w:tblGridChange>
      </w:tblGrid>
      <w:tr>
        <w:trPr>
          <w:cantSplit w:val="0"/>
          <w:tblHeader w:val="0"/>
        </w:trPr>
        <w:tc>
          <w:tcPr>
            <w:tcBorders>
              <w:top w:color="000000" w:space="0" w:sz="18" w:val="single"/>
              <w:bottom w:color="000000" w:space="0" w:sz="6" w:val="single"/>
              <w:right w:color="000000" w:space="0" w:sz="0" w:val="nil"/>
            </w:tcBorders>
            <w:shd w:fill="d9d9d9" w:val="clear"/>
            <w:vAlign w:val="center"/>
          </w:tcPr>
          <w:p w:rsidR="00000000" w:rsidDel="00000000" w:rsidP="00000000" w:rsidRDefault="00000000" w:rsidRPr="00000000" w14:paraId="00000053">
            <w:pPr>
              <w:jc w:val="center"/>
              <w:rPr>
                <w:color w:val="000000"/>
              </w:rPr>
            </w:pPr>
            <w:r w:rsidDel="00000000" w:rsidR="00000000" w:rsidRPr="00000000">
              <w:rPr>
                <w:rtl w:val="0"/>
              </w:rPr>
            </w:r>
          </w:p>
        </w:tc>
        <w:tc>
          <w:tcPr>
            <w:tcBorders>
              <w:top w:color="000000" w:space="0" w:sz="18" w:val="single"/>
              <w:left w:color="000000" w:space="0" w:sz="0" w:val="nil"/>
              <w:bottom w:color="000000" w:space="0" w:sz="6" w:val="single"/>
              <w:right w:color="000000" w:space="0" w:sz="0" w:val="nil"/>
            </w:tcBorders>
            <w:shd w:fill="d9d9d9" w:val="clear"/>
            <w:vAlign w:val="cente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n°1</w:t>
            </w:r>
          </w:p>
        </w:tc>
        <w:tc>
          <w:tcPr>
            <w:tcBorders>
              <w:top w:color="000000" w:space="0" w:sz="18" w:val="single"/>
              <w:left w:color="000000" w:space="0" w:sz="0" w:val="nil"/>
              <w:bottom w:color="000000" w:space="0" w:sz="6" w:val="single"/>
            </w:tcBorders>
            <w:shd w:fill="d9d9d9" w:val="clear"/>
            <w:vAlign w:val="center"/>
          </w:tcPr>
          <w:p w:rsidR="00000000" w:rsidDel="00000000" w:rsidP="00000000" w:rsidRDefault="00000000" w:rsidRPr="00000000" w14:paraId="00000055">
            <w:pPr>
              <w:jc w:val="center"/>
              <w:rPr>
                <w:color w:val="000000"/>
              </w:rPr>
            </w:pPr>
            <w:r w:rsidDel="00000000" w:rsidR="00000000" w:rsidRPr="00000000">
              <w:rPr>
                <w:rtl w:val="0"/>
              </w:rPr>
            </w:r>
          </w:p>
        </w:tc>
      </w:tr>
      <w:tr>
        <w:trPr>
          <w:cantSplit w:val="0"/>
          <w:tblHeader w:val="0"/>
        </w:trPr>
        <w:tc>
          <w:tcPr>
            <w:tcBorders>
              <w:top w:color="000000" w:space="0" w:sz="6" w:val="single"/>
            </w:tcBorders>
            <w:vAlign w:val="center"/>
          </w:tcPr>
          <w:p w:rsidR="00000000" w:rsidDel="00000000" w:rsidP="00000000" w:rsidRDefault="00000000" w:rsidRPr="00000000" w14:paraId="00000056">
            <w:pPr>
              <w:jc w:val="center"/>
              <w:rPr>
                <w:color w:val="000000"/>
                <w:sz w:val="96"/>
                <w:szCs w:val="96"/>
              </w:rPr>
            </w:pPr>
            <w:r w:rsidDel="00000000" w:rsidR="00000000" w:rsidRPr="00000000">
              <w:rPr>
                <w:color w:val="000000"/>
                <w:sz w:val="96"/>
                <w:szCs w:val="96"/>
                <w:rtl w:val="0"/>
              </w:rPr>
              <w:t xml:space="preserve">🖐</w:t>
            </w:r>
          </w:p>
        </w:tc>
        <w:tc>
          <w:tcPr>
            <w:tcBorders>
              <w:top w:color="000000" w:space="0" w:sz="6" w:val="single"/>
            </w:tcBorders>
            <w:vAlign w:val="cente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ff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pour lui présenter le facteur cinétique à modifier ou en cas de difficulté</w:t>
            </w:r>
            <w:r w:rsidDel="00000000" w:rsidR="00000000" w:rsidRPr="00000000">
              <w:rPr>
                <w:rtl w:val="0"/>
              </w:rPr>
            </w:r>
          </w:p>
        </w:tc>
        <w:tc>
          <w:tcPr>
            <w:tcBorders>
              <w:top w:color="000000" w:space="0" w:sz="6" w:val="single"/>
            </w:tcBorders>
            <w:vAlign w:val="center"/>
          </w:tcPr>
          <w:p w:rsidR="00000000" w:rsidDel="00000000" w:rsidP="00000000" w:rsidRDefault="00000000" w:rsidRPr="00000000" w14:paraId="00000058">
            <w:pPr>
              <w:jc w:val="center"/>
              <w:rPr>
                <w:color w:val="000000"/>
              </w:rPr>
            </w:pPr>
            <w:r w:rsidDel="00000000" w:rsidR="00000000" w:rsidRPr="00000000">
              <w:rPr>
                <w:color w:val="000000"/>
                <w:sz w:val="96"/>
                <w:szCs w:val="96"/>
                <w:rtl w:val="0"/>
              </w:rPr>
              <w:t xml:space="preserve">🖐</w:t>
            </w:r>
            <w:r w:rsidDel="00000000" w:rsidR="00000000" w:rsidRPr="00000000">
              <w:rPr>
                <w:rtl w:val="0"/>
              </w:rPr>
            </w:r>
          </w:p>
        </w:tc>
      </w:tr>
    </w:tbl>
    <w:p w:rsidR="00000000" w:rsidDel="00000000" w:rsidP="00000000" w:rsidRDefault="00000000" w:rsidRPr="00000000" w14:paraId="00000059">
      <w:pPr>
        <w:pStyle w:val="Heading2"/>
        <w:rPr>
          <w:b w:val="0"/>
          <w:color w:val="000000"/>
        </w:rPr>
      </w:pPr>
      <w:bookmarkStart w:colFirst="0" w:colLast="0" w:name="_heading=h.3dy6vkm" w:id="6"/>
      <w:bookmarkEnd w:id="6"/>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pStyle w:val="Heading2"/>
        <w:numPr>
          <w:ilvl w:val="0"/>
          <w:numId w:val="3"/>
        </w:numPr>
        <w:ind w:left="360" w:hanging="360"/>
        <w:rPr>
          <w:b w:val="0"/>
          <w:color w:val="000000"/>
        </w:rPr>
      </w:pPr>
      <w:r w:rsidDel="00000000" w:rsidR="00000000" w:rsidRPr="00000000">
        <w:rPr>
          <w:color w:val="000000"/>
          <w:rtl w:val="0"/>
        </w:rPr>
        <w:t xml:space="preserve">Proposition d’un protocole expérimental </w:t>
      </w:r>
      <w:r w:rsidDel="00000000" w:rsidR="00000000" w:rsidRPr="00000000">
        <w:rPr>
          <w:b w:val="0"/>
          <w:rtl w:val="0"/>
        </w:rPr>
        <w:t xml:space="preserve">(</w:t>
      </w:r>
      <w:r w:rsidDel="00000000" w:rsidR="00000000" w:rsidRPr="00000000">
        <w:rPr>
          <w:b w:val="0"/>
          <w:color w:val="000000"/>
          <w:rtl w:val="0"/>
        </w:rPr>
        <w:t xml:space="preserve">20</w:t>
      </w:r>
      <w:r w:rsidDel="00000000" w:rsidR="00000000" w:rsidRPr="00000000">
        <w:rPr>
          <w:b w:val="0"/>
          <w:rtl w:val="0"/>
        </w:rPr>
        <w:t xml:space="preserve"> minutes conseillées)</w:t>
      </w:r>
      <w:r w:rsidDel="00000000" w:rsidR="00000000" w:rsidRPr="00000000">
        <w:rPr>
          <w:rtl w:val="0"/>
        </w:rPr>
      </w:r>
    </w:p>
    <w:p w:rsidR="00000000" w:rsidDel="00000000" w:rsidP="00000000" w:rsidRDefault="00000000" w:rsidRPr="00000000" w14:paraId="0000005C">
      <w:pPr>
        <w:spacing w:line="240" w:lineRule="auto"/>
        <w:rPr/>
      </w:pPr>
      <w:r w:rsidDel="00000000" w:rsidR="00000000" w:rsidRPr="00000000">
        <w:rPr>
          <w:rtl w:val="0"/>
        </w:rPr>
      </w:r>
    </w:p>
    <w:p w:rsidR="00000000" w:rsidDel="00000000" w:rsidP="00000000" w:rsidRDefault="00000000" w:rsidRPr="00000000" w14:paraId="0000005D">
      <w:pPr>
        <w:rPr>
          <w:color w:val="000000"/>
        </w:rPr>
      </w:pPr>
      <w:r w:rsidDel="00000000" w:rsidR="00000000" w:rsidRPr="00000000">
        <w:rPr>
          <w:color w:val="000000"/>
          <w:rtl w:val="0"/>
        </w:rPr>
        <w:t xml:space="preserve">À l’aide des informations et du matériel et des produits mis à disposition, proposer un protocole expérimental permettant de tester l’influence du facteur cinétique proposé à la question précédente.</w:t>
      </w:r>
    </w:p>
    <w:p w:rsidR="00000000" w:rsidDel="00000000" w:rsidP="00000000" w:rsidRDefault="00000000" w:rsidRPr="00000000" w14:paraId="0000005E">
      <w:pPr>
        <w:rPr>
          <w:color w:val="000000"/>
          <w:sz w:val="12"/>
          <w:szCs w:val="12"/>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Justifier le choix de la verrerie et l’ordre des opérations à effectuer.</w:t>
      </w:r>
    </w:p>
    <w:p w:rsidR="00000000" w:rsidDel="00000000" w:rsidP="00000000" w:rsidRDefault="00000000" w:rsidRPr="00000000" w14:paraId="00000060">
      <w:pPr>
        <w:spacing w:line="480" w:lineRule="auto"/>
        <w:rPr>
          <w:color w:val="000000"/>
          <w:sz w:val="22"/>
          <w:szCs w:val="22"/>
        </w:rPr>
      </w:pPr>
      <w:r w:rsidDel="00000000" w:rsidR="00000000" w:rsidRPr="00000000">
        <w:rPr>
          <w:rtl w:val="0"/>
        </w:rPr>
      </w:r>
    </w:p>
    <w:p w:rsidR="00000000" w:rsidDel="00000000" w:rsidP="00000000" w:rsidRDefault="00000000" w:rsidRPr="00000000" w14:paraId="00000061">
      <w:pPr>
        <w:jc w:val="left"/>
        <w:rPr>
          <w:rFonts w:ascii="Candara" w:cs="Candara" w:eastAsia="Candara" w:hAnsi="Candara"/>
          <w:color w:val="7030a0"/>
          <w:sz w:val="24"/>
          <w:szCs w:val="24"/>
        </w:rPr>
      </w:pPr>
      <w:r w:rsidDel="00000000" w:rsidR="00000000" w:rsidRPr="00000000">
        <w:rPr>
          <w:rFonts w:ascii="Candara" w:cs="Candara" w:eastAsia="Candara" w:hAnsi="Candara"/>
          <w:i w:val="1"/>
          <w:color w:val="0070c0"/>
          <w:sz w:val="22"/>
          <w:szCs w:val="22"/>
          <w:u w:val="single"/>
          <w:rtl w:val="0"/>
        </w:rPr>
        <w:t xml:space="preserve">Soit la modification de la concentration/ température</w:t>
      </w:r>
      <w:r w:rsidDel="00000000" w:rsidR="00000000" w:rsidRPr="00000000">
        <w:rPr>
          <w:rFonts w:ascii="Candara" w:cs="Candara" w:eastAsia="Candara" w:hAnsi="Candara"/>
          <w:i w:val="1"/>
          <w:color w:val="0070c0"/>
          <w:sz w:val="22"/>
          <w:szCs w:val="22"/>
          <w:rtl w:val="0"/>
        </w:rPr>
        <w:t xml:space="preserve"> : </w:t>
      </w:r>
      <w:hyperlink r:id="rId10">
        <w:r w:rsidDel="00000000" w:rsidR="00000000" w:rsidRPr="00000000">
          <w:rPr>
            <w:rFonts w:ascii="Candara" w:cs="Candara" w:eastAsia="Candara" w:hAnsi="Candara"/>
            <w:color w:val="1155cc"/>
            <w:sz w:val="24"/>
            <w:szCs w:val="24"/>
            <w:u w:val="single"/>
            <w:rtl w:val="0"/>
          </w:rPr>
          <w:t xml:space="preserve">TP cinétique en chimie</w:t>
        </w:r>
      </w:hyperlink>
      <w:r w:rsidDel="00000000" w:rsidR="00000000" w:rsidRPr="00000000">
        <w:rPr>
          <w:rFonts w:ascii="Candara" w:cs="Candara" w:eastAsia="Candara" w:hAnsi="Candara"/>
          <w:color w:val="7030a0"/>
          <w:sz w:val="24"/>
          <w:szCs w:val="24"/>
          <w:rtl w:val="0"/>
        </w:rPr>
        <w:t xml:space="preserve"> </w:t>
      </w:r>
    </w:p>
    <w:p w:rsidR="00000000" w:rsidDel="00000000" w:rsidP="00000000" w:rsidRDefault="00000000" w:rsidRPr="00000000" w14:paraId="00000062">
      <w:pPr>
        <w:spacing w:line="480" w:lineRule="auto"/>
        <w:rPr>
          <w:rFonts w:ascii="Candara" w:cs="Candara" w:eastAsia="Candara" w:hAnsi="Candara"/>
          <w:i w:val="1"/>
          <w:color w:val="0070c0"/>
          <w:sz w:val="22"/>
          <w:szCs w:val="22"/>
        </w:rPr>
      </w:pPr>
      <w:r w:rsidDel="00000000" w:rsidR="00000000" w:rsidRPr="00000000">
        <w:rPr>
          <w:rFonts w:ascii="Candara" w:cs="Candara" w:eastAsia="Candara" w:hAnsi="Candara"/>
          <w:i w:val="1"/>
          <w:color w:val="0070c0"/>
          <w:sz w:val="22"/>
          <w:szCs w:val="22"/>
          <w:u w:val="single"/>
          <w:rtl w:val="0"/>
        </w:rPr>
        <w:t xml:space="preserve">Soit l’utilisation d’un catalyseur</w:t>
      </w:r>
      <w:r w:rsidDel="00000000" w:rsidR="00000000" w:rsidRPr="00000000">
        <w:rPr>
          <w:rFonts w:ascii="Candara" w:cs="Candara" w:eastAsia="Candara" w:hAnsi="Candara"/>
          <w:i w:val="1"/>
          <w:color w:val="0070c0"/>
          <w:sz w:val="22"/>
          <w:szCs w:val="22"/>
          <w:rtl w:val="0"/>
        </w:rPr>
        <w:t xml:space="preserve">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Candara" w:cs="Candara" w:eastAsia="Candara" w:hAnsi="Candara"/>
          <w:b w:val="0"/>
          <w:i w:val="1"/>
          <w:smallCaps w:val="0"/>
          <w:strike w:val="0"/>
          <w:color w:val="0070c0"/>
          <w:sz w:val="22"/>
          <w:szCs w:val="22"/>
          <w:u w:val="none"/>
          <w:shd w:fill="auto" w:val="clear"/>
          <w:vertAlign w:val="baseline"/>
        </w:rPr>
      </w:pPr>
      <w:r w:rsidDel="00000000" w:rsidR="00000000" w:rsidRPr="00000000">
        <w:rPr>
          <w:rFonts w:ascii="Candara" w:cs="Candara" w:eastAsia="Candara" w:hAnsi="Candara"/>
          <w:b w:val="0"/>
          <w:i w:val="1"/>
          <w:smallCaps w:val="0"/>
          <w:strike w:val="0"/>
          <w:color w:val="0070c0"/>
          <w:sz w:val="22"/>
          <w:szCs w:val="22"/>
          <w:u w:val="none"/>
          <w:shd w:fill="auto" w:val="clear"/>
          <w:vertAlign w:val="baseline"/>
          <w:rtl w:val="0"/>
        </w:rPr>
        <w:t xml:space="preserve">Prélever 5,0 mL de solution de peroxyde d’hydrogène à l’aide d’une pipette graduée de 5Ml. Verser la solution dans un bécher.Prélever 5,0 mL de solution d’iodure de potassium, à l’aide d’une pipette graduée de 5 mL. Verser la solution dans une burette graduée placée au-dessus du bécher (selon la verrerie à disposition : on peut également mettre un barreau aimanté dans le bécher et le placer </w:t>
      </w:r>
      <w:r w:rsidDel="00000000" w:rsidR="00000000" w:rsidRPr="00000000">
        <w:rPr>
          <w:rFonts w:ascii="Candara" w:cs="Candara" w:eastAsia="Candara" w:hAnsi="Candara"/>
          <w:i w:val="1"/>
          <w:color w:val="0070c0"/>
          <w:sz w:val="22"/>
          <w:szCs w:val="22"/>
          <w:rtl w:val="0"/>
        </w:rPr>
        <w:t xml:space="preserve">sur un</w:t>
      </w:r>
      <w:r w:rsidDel="00000000" w:rsidR="00000000" w:rsidRPr="00000000">
        <w:rPr>
          <w:rFonts w:ascii="Candara" w:cs="Candara" w:eastAsia="Candara" w:hAnsi="Candara"/>
          <w:b w:val="0"/>
          <w:i w:val="1"/>
          <w:smallCaps w:val="0"/>
          <w:strike w:val="0"/>
          <w:color w:val="0070c0"/>
          <w:sz w:val="22"/>
          <w:szCs w:val="22"/>
          <w:u w:val="none"/>
          <w:shd w:fill="auto" w:val="clear"/>
          <w:vertAlign w:val="baseline"/>
          <w:rtl w:val="0"/>
        </w:rPr>
        <w:t xml:space="preserve"> agitateur magnétique).Rajouter dans la burette 2mL d’une solution d’acide sulfurique (=catalyseur).Prendre un chronomètre et verser petit-à-petit la solution contenue dans la burette jusqu’à ce que la solution contenue dans le bécher prenne une couleur brune (celle du diiode= produit formé).</w:t>
      </w:r>
    </w:p>
    <w:p w:rsidR="00000000" w:rsidDel="00000000" w:rsidP="00000000" w:rsidRDefault="00000000" w:rsidRPr="00000000" w14:paraId="00000064">
      <w:pPr>
        <w:spacing w:line="480" w:lineRule="auto"/>
        <w:rPr>
          <w:color w:val="000000"/>
          <w:sz w:val="22"/>
          <w:szCs w:val="22"/>
        </w:rPr>
      </w:pPr>
      <w:r w:rsidDel="00000000" w:rsidR="00000000" w:rsidRPr="00000000">
        <w:rPr>
          <w:rtl w:val="0"/>
        </w:rPr>
      </w:r>
    </w:p>
    <w:p w:rsidR="00000000" w:rsidDel="00000000" w:rsidP="00000000" w:rsidRDefault="00000000" w:rsidRPr="00000000" w14:paraId="00000065">
      <w:pPr>
        <w:spacing w:line="480" w:lineRule="auto"/>
        <w:rPr>
          <w:color w:val="000000"/>
          <w:sz w:val="22"/>
          <w:szCs w:val="22"/>
        </w:rPr>
      </w:pPr>
      <w:r w:rsidDel="00000000" w:rsidR="00000000" w:rsidRPr="00000000">
        <w:rPr>
          <w:rtl w:val="0"/>
        </w:rPr>
      </w:r>
    </w:p>
    <w:p w:rsidR="00000000" w:rsidDel="00000000" w:rsidP="00000000" w:rsidRDefault="00000000" w:rsidRPr="00000000" w14:paraId="00000066">
      <w:pPr>
        <w:spacing w:line="480" w:lineRule="auto"/>
        <w:rPr>
          <w:color w:val="000000"/>
          <w:sz w:val="22"/>
          <w:szCs w:val="22"/>
        </w:rPr>
      </w:pPr>
      <w:r w:rsidDel="00000000" w:rsidR="00000000" w:rsidRPr="00000000">
        <w:rPr>
          <w:rtl w:val="0"/>
        </w:rPr>
      </w:r>
    </w:p>
    <w:p w:rsidR="00000000" w:rsidDel="00000000" w:rsidP="00000000" w:rsidRDefault="00000000" w:rsidRPr="00000000" w14:paraId="00000067">
      <w:pPr>
        <w:spacing w:line="480" w:lineRule="auto"/>
        <w:rPr>
          <w:color w:val="000000"/>
          <w:sz w:val="22"/>
          <w:szCs w:val="22"/>
        </w:rPr>
      </w:pPr>
      <w:r w:rsidDel="00000000" w:rsidR="00000000" w:rsidRPr="00000000">
        <w:rPr>
          <w:rtl w:val="0"/>
        </w:rPr>
      </w:r>
    </w:p>
    <w:p w:rsidR="00000000" w:rsidDel="00000000" w:rsidP="00000000" w:rsidRDefault="00000000" w:rsidRPr="00000000" w14:paraId="00000068">
      <w:pPr>
        <w:spacing w:line="480" w:lineRule="auto"/>
        <w:rPr/>
      </w:pPr>
      <w:r w:rsidDel="00000000" w:rsidR="00000000" w:rsidRPr="00000000">
        <w:rPr>
          <w:rtl w:val="0"/>
        </w:rPr>
      </w:r>
    </w:p>
    <w:tbl>
      <w:tblPr>
        <w:tblStyle w:val="Table3"/>
        <w:tblW w:w="9640.0" w:type="dxa"/>
        <w:jc w:val="center"/>
        <w:tblBorders>
          <w:top w:color="000000" w:space="0" w:sz="18" w:val="single"/>
          <w:left w:color="000000" w:space="0" w:sz="18" w:val="single"/>
          <w:bottom w:color="000000" w:space="0" w:sz="18" w:val="single"/>
          <w:right w:color="000000" w:space="0" w:sz="18" w:val="single"/>
          <w:insideH w:color="000000" w:space="0" w:sz="6" w:val="single"/>
          <w:insideV w:color="000000" w:space="0" w:sz="6" w:val="single"/>
        </w:tblBorders>
        <w:tblLayout w:type="fixed"/>
        <w:tblLook w:val="0400"/>
      </w:tblPr>
      <w:tblGrid>
        <w:gridCol w:w="1418"/>
        <w:gridCol w:w="6804"/>
        <w:gridCol w:w="1418"/>
        <w:tblGridChange w:id="0">
          <w:tblGrid>
            <w:gridCol w:w="1418"/>
            <w:gridCol w:w="6804"/>
            <w:gridCol w:w="1418"/>
          </w:tblGrid>
        </w:tblGridChange>
      </w:tblGrid>
      <w:tr>
        <w:trPr>
          <w:cantSplit w:val="0"/>
          <w:tblHeader w:val="0"/>
        </w:trPr>
        <w:tc>
          <w:tcPr>
            <w:tcBorders>
              <w:top w:color="000000" w:space="0" w:sz="18" w:val="single"/>
              <w:bottom w:color="000000" w:space="0" w:sz="6" w:val="single"/>
              <w:right w:color="000000" w:space="0" w:sz="0" w:val="nil"/>
            </w:tcBorders>
            <w:shd w:fill="d9d9d9" w:val="clear"/>
            <w:vAlign w:val="center"/>
          </w:tcPr>
          <w:p w:rsidR="00000000" w:rsidDel="00000000" w:rsidP="00000000" w:rsidRDefault="00000000" w:rsidRPr="00000000" w14:paraId="00000069">
            <w:pPr>
              <w:jc w:val="center"/>
              <w:rPr>
                <w:color w:val="000000"/>
              </w:rPr>
            </w:pPr>
            <w:r w:rsidDel="00000000" w:rsidR="00000000" w:rsidRPr="00000000">
              <w:rPr>
                <w:rtl w:val="0"/>
              </w:rPr>
            </w:r>
          </w:p>
        </w:tc>
        <w:tc>
          <w:tcPr>
            <w:tcBorders>
              <w:top w:color="000000" w:space="0" w:sz="18" w:val="single"/>
              <w:left w:color="000000" w:space="0" w:sz="0" w:val="nil"/>
              <w:bottom w:color="000000" w:space="0" w:sz="6" w:val="single"/>
              <w:right w:color="000000" w:space="0" w:sz="0" w:val="nil"/>
            </w:tcBorders>
            <w:shd w:fill="d9d9d9" w:val="clear"/>
            <w:vAlign w:val="center"/>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n°2</w:t>
            </w:r>
          </w:p>
        </w:tc>
        <w:tc>
          <w:tcPr>
            <w:tcBorders>
              <w:top w:color="000000" w:space="0" w:sz="18" w:val="single"/>
              <w:left w:color="000000" w:space="0" w:sz="0" w:val="nil"/>
              <w:bottom w:color="000000" w:space="0" w:sz="6" w:val="single"/>
            </w:tcBorders>
            <w:shd w:fill="d9d9d9" w:val="clear"/>
            <w:vAlign w:val="center"/>
          </w:tcPr>
          <w:p w:rsidR="00000000" w:rsidDel="00000000" w:rsidP="00000000" w:rsidRDefault="00000000" w:rsidRPr="00000000" w14:paraId="0000006B">
            <w:pPr>
              <w:jc w:val="center"/>
              <w:rPr>
                <w:color w:val="000000"/>
              </w:rPr>
            </w:pPr>
            <w:r w:rsidDel="00000000" w:rsidR="00000000" w:rsidRPr="00000000">
              <w:rPr>
                <w:rtl w:val="0"/>
              </w:rPr>
            </w:r>
          </w:p>
        </w:tc>
      </w:tr>
      <w:tr>
        <w:trPr>
          <w:cantSplit w:val="0"/>
          <w:tblHeader w:val="0"/>
        </w:trPr>
        <w:tc>
          <w:tcPr>
            <w:tcBorders>
              <w:top w:color="000000" w:space="0" w:sz="6" w:val="single"/>
            </w:tcBorders>
            <w:vAlign w:val="center"/>
          </w:tcPr>
          <w:p w:rsidR="00000000" w:rsidDel="00000000" w:rsidP="00000000" w:rsidRDefault="00000000" w:rsidRPr="00000000" w14:paraId="0000006C">
            <w:pPr>
              <w:jc w:val="center"/>
              <w:rPr>
                <w:color w:val="000000"/>
                <w:sz w:val="96"/>
                <w:szCs w:val="96"/>
              </w:rPr>
            </w:pPr>
            <w:r w:rsidDel="00000000" w:rsidR="00000000" w:rsidRPr="00000000">
              <w:rPr>
                <w:color w:val="000000"/>
                <w:sz w:val="96"/>
                <w:szCs w:val="96"/>
                <w:rtl w:val="0"/>
              </w:rPr>
              <w:t xml:space="preserve">🖐</w:t>
            </w:r>
          </w:p>
        </w:tc>
        <w:tc>
          <w:tcPr>
            <w:tcBorders>
              <w:top w:color="000000" w:space="0" w:sz="6" w:val="single"/>
            </w:tcBorders>
            <w:vAlign w:val="cente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pour lui présenter le protocole expérimental</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ou en cas de difficulté</w:t>
            </w:r>
          </w:p>
        </w:tc>
        <w:tc>
          <w:tcPr>
            <w:tcBorders>
              <w:top w:color="000000" w:space="0" w:sz="6" w:val="single"/>
            </w:tcBorders>
            <w:vAlign w:val="center"/>
          </w:tcPr>
          <w:p w:rsidR="00000000" w:rsidDel="00000000" w:rsidP="00000000" w:rsidRDefault="00000000" w:rsidRPr="00000000" w14:paraId="0000006F">
            <w:pPr>
              <w:jc w:val="center"/>
              <w:rPr>
                <w:color w:val="000000"/>
              </w:rPr>
            </w:pPr>
            <w:r w:rsidDel="00000000" w:rsidR="00000000" w:rsidRPr="00000000">
              <w:rPr>
                <w:color w:val="000000"/>
                <w:sz w:val="96"/>
                <w:szCs w:val="96"/>
                <w:rtl w:val="0"/>
              </w:rPr>
              <w:t xml:space="preserve">🖐</w:t>
            </w:r>
            <w:r w:rsidDel="00000000" w:rsidR="00000000" w:rsidRPr="00000000">
              <w:rPr>
                <w:rtl w:val="0"/>
              </w:rPr>
            </w:r>
          </w:p>
        </w:tc>
      </w:tr>
    </w:tbl>
    <w:p w:rsidR="00000000" w:rsidDel="00000000" w:rsidP="00000000" w:rsidRDefault="00000000" w:rsidRPr="00000000" w14:paraId="00000070">
      <w:pPr>
        <w:spacing w:line="240" w:lineRule="auto"/>
        <w:rPr/>
      </w:pPr>
      <w:r w:rsidDel="00000000" w:rsidR="00000000" w:rsidRPr="00000000">
        <w:rPr>
          <w:rtl w:val="0"/>
        </w:rPr>
      </w:r>
    </w:p>
    <w:p w:rsidR="00000000" w:rsidDel="00000000" w:rsidP="00000000" w:rsidRDefault="00000000" w:rsidRPr="00000000" w14:paraId="00000071">
      <w:pPr>
        <w:spacing w:line="240" w:lineRule="auto"/>
        <w:rPr/>
      </w:pPr>
      <w:r w:rsidDel="00000000" w:rsidR="00000000" w:rsidRPr="00000000">
        <w:rPr>
          <w:rtl w:val="0"/>
        </w:rPr>
      </w:r>
    </w:p>
    <w:p w:rsidR="00000000" w:rsidDel="00000000" w:rsidP="00000000" w:rsidRDefault="00000000" w:rsidRPr="00000000" w14:paraId="00000072">
      <w:pPr>
        <w:pStyle w:val="Heading2"/>
        <w:numPr>
          <w:ilvl w:val="0"/>
          <w:numId w:val="4"/>
        </w:numPr>
        <w:spacing w:line="240" w:lineRule="auto"/>
        <w:ind w:left="360" w:hanging="360"/>
        <w:rPr>
          <w:color w:val="000000"/>
        </w:rPr>
      </w:pPr>
      <w:bookmarkStart w:colFirst="0" w:colLast="0" w:name="_heading=h.1t3h5sf" w:id="7"/>
      <w:bookmarkEnd w:id="7"/>
      <w:r w:rsidDel="00000000" w:rsidR="00000000" w:rsidRPr="00000000">
        <w:rPr>
          <w:color w:val="000000"/>
          <w:rtl w:val="0"/>
        </w:rPr>
        <w:t xml:space="preserve">Mise en œuvre du protocole </w:t>
      </w:r>
      <w:r w:rsidDel="00000000" w:rsidR="00000000" w:rsidRPr="00000000">
        <w:rPr>
          <w:b w:val="0"/>
          <w:rtl w:val="0"/>
        </w:rPr>
        <w:t xml:space="preserve">(</w:t>
      </w:r>
      <w:r w:rsidDel="00000000" w:rsidR="00000000" w:rsidRPr="00000000">
        <w:rPr>
          <w:b w:val="0"/>
          <w:color w:val="000000"/>
          <w:rtl w:val="0"/>
        </w:rPr>
        <w:t xml:space="preserve">20</w:t>
      </w:r>
      <w:r w:rsidDel="00000000" w:rsidR="00000000" w:rsidRPr="00000000">
        <w:rPr>
          <w:b w:val="0"/>
          <w:rtl w:val="0"/>
        </w:rPr>
        <w:t xml:space="preserve"> minutes conseillées)</w:t>
      </w:r>
      <w:r w:rsidDel="00000000" w:rsidR="00000000" w:rsidRPr="00000000">
        <w:rPr>
          <w:rtl w:val="0"/>
        </w:rPr>
      </w:r>
    </w:p>
    <w:p w:rsidR="00000000" w:rsidDel="00000000" w:rsidP="00000000" w:rsidRDefault="00000000" w:rsidRPr="00000000" w14:paraId="00000073">
      <w:pPr>
        <w:spacing w:line="240" w:lineRule="auto"/>
        <w:rPr/>
      </w:pPr>
      <w:r w:rsidDel="00000000" w:rsidR="00000000" w:rsidRPr="00000000">
        <w:rPr>
          <w:rtl w:val="0"/>
        </w:rPr>
      </w:r>
    </w:p>
    <w:p w:rsidR="00000000" w:rsidDel="00000000" w:rsidP="00000000" w:rsidRDefault="00000000" w:rsidRPr="00000000" w14:paraId="00000074">
      <w:pPr>
        <w:spacing w:line="240" w:lineRule="auto"/>
        <w:rPr/>
      </w:pPr>
      <w:r w:rsidDel="00000000" w:rsidR="00000000" w:rsidRPr="00000000">
        <w:rPr>
          <w:rtl w:val="0"/>
        </w:rPr>
        <w:t xml:space="preserve">Mettre en œuvre le protocole expérimental.</w:t>
      </w:r>
    </w:p>
    <w:p w:rsidR="00000000" w:rsidDel="00000000" w:rsidP="00000000" w:rsidRDefault="00000000" w:rsidRPr="00000000" w14:paraId="00000075">
      <w:pPr>
        <w:spacing w:line="240" w:lineRule="auto"/>
        <w:rPr/>
      </w:pPr>
      <w:r w:rsidDel="00000000" w:rsidR="00000000" w:rsidRPr="00000000">
        <w:rPr>
          <w:rtl w:val="0"/>
        </w:rPr>
      </w:r>
    </w:p>
    <w:tbl>
      <w:tblPr>
        <w:tblStyle w:val="Table4"/>
        <w:tblW w:w="9640.0" w:type="dxa"/>
        <w:jc w:val="center"/>
        <w:tblBorders>
          <w:top w:color="000000" w:space="0" w:sz="18" w:val="single"/>
          <w:left w:color="000000" w:space="0" w:sz="18" w:val="single"/>
          <w:bottom w:color="000000" w:space="0" w:sz="18" w:val="single"/>
          <w:right w:color="000000" w:space="0" w:sz="18" w:val="single"/>
          <w:insideH w:color="000000" w:space="0" w:sz="6" w:val="single"/>
          <w:insideV w:color="000000" w:space="0" w:sz="6" w:val="single"/>
        </w:tblBorders>
        <w:tblLayout w:type="fixed"/>
        <w:tblLook w:val="0400"/>
      </w:tblPr>
      <w:tblGrid>
        <w:gridCol w:w="1418"/>
        <w:gridCol w:w="6804"/>
        <w:gridCol w:w="1418"/>
        <w:tblGridChange w:id="0">
          <w:tblGrid>
            <w:gridCol w:w="1418"/>
            <w:gridCol w:w="6804"/>
            <w:gridCol w:w="1418"/>
          </w:tblGrid>
        </w:tblGridChange>
      </w:tblGrid>
      <w:tr>
        <w:trPr>
          <w:cantSplit w:val="0"/>
          <w:tblHeader w:val="0"/>
        </w:trPr>
        <w:tc>
          <w:tcPr>
            <w:tcBorders>
              <w:top w:color="000000" w:space="0" w:sz="18" w:val="single"/>
              <w:bottom w:color="000000" w:space="0" w:sz="6" w:val="single"/>
              <w:right w:color="000000" w:space="0" w:sz="0" w:val="nil"/>
            </w:tcBorders>
            <w:shd w:fill="d9d9d9" w:val="clear"/>
            <w:vAlign w:val="center"/>
          </w:tcPr>
          <w:p w:rsidR="00000000" w:rsidDel="00000000" w:rsidP="00000000" w:rsidRDefault="00000000" w:rsidRPr="00000000" w14:paraId="00000076">
            <w:pPr>
              <w:jc w:val="center"/>
              <w:rPr>
                <w:color w:val="000000"/>
              </w:rPr>
            </w:pPr>
            <w:r w:rsidDel="00000000" w:rsidR="00000000" w:rsidRPr="00000000">
              <w:rPr>
                <w:rtl w:val="0"/>
              </w:rPr>
            </w:r>
          </w:p>
        </w:tc>
        <w:tc>
          <w:tcPr>
            <w:tcBorders>
              <w:top w:color="000000" w:space="0" w:sz="18" w:val="single"/>
              <w:left w:color="000000" w:space="0" w:sz="0" w:val="nil"/>
              <w:bottom w:color="000000" w:space="0" w:sz="6" w:val="single"/>
              <w:right w:color="000000" w:space="0" w:sz="0" w:val="nil"/>
            </w:tcBorders>
            <w:shd w:fill="d9d9d9" w:val="clear"/>
            <w:vAlign w:val="cente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FACULTATIF</w:t>
            </w:r>
          </w:p>
        </w:tc>
        <w:tc>
          <w:tcPr>
            <w:tcBorders>
              <w:top w:color="000000" w:space="0" w:sz="18" w:val="single"/>
              <w:left w:color="000000" w:space="0" w:sz="0" w:val="nil"/>
              <w:bottom w:color="000000" w:space="0" w:sz="6" w:val="single"/>
            </w:tcBorders>
            <w:shd w:fill="d9d9d9" w:val="clear"/>
            <w:vAlign w:val="center"/>
          </w:tcPr>
          <w:p w:rsidR="00000000" w:rsidDel="00000000" w:rsidP="00000000" w:rsidRDefault="00000000" w:rsidRPr="00000000" w14:paraId="00000078">
            <w:pPr>
              <w:jc w:val="center"/>
              <w:rPr>
                <w:color w:val="000000"/>
              </w:rPr>
            </w:pPr>
            <w:r w:rsidDel="00000000" w:rsidR="00000000" w:rsidRPr="00000000">
              <w:rPr>
                <w:rtl w:val="0"/>
              </w:rPr>
            </w:r>
          </w:p>
        </w:tc>
      </w:tr>
      <w:tr>
        <w:trPr>
          <w:cantSplit w:val="0"/>
          <w:tblHeader w:val="0"/>
        </w:trPr>
        <w:tc>
          <w:tcPr>
            <w:tcBorders>
              <w:top w:color="000000" w:space="0" w:sz="6" w:val="single"/>
            </w:tcBorders>
            <w:vAlign w:val="center"/>
          </w:tcPr>
          <w:p w:rsidR="00000000" w:rsidDel="00000000" w:rsidP="00000000" w:rsidRDefault="00000000" w:rsidRPr="00000000" w14:paraId="00000079">
            <w:pPr>
              <w:jc w:val="center"/>
              <w:rPr>
                <w:color w:val="000000"/>
                <w:sz w:val="96"/>
                <w:szCs w:val="96"/>
              </w:rPr>
            </w:pPr>
            <w:r w:rsidDel="00000000" w:rsidR="00000000" w:rsidRPr="00000000">
              <w:rPr>
                <w:color w:val="000000"/>
                <w:sz w:val="96"/>
                <w:szCs w:val="96"/>
                <w:rtl w:val="0"/>
              </w:rPr>
              <w:t xml:space="preserve">🖐</w:t>
            </w:r>
          </w:p>
        </w:tc>
        <w:tc>
          <w:tcPr>
            <w:tcBorders>
              <w:top w:color="000000" w:space="0" w:sz="6" w:val="single"/>
            </w:tcBorders>
            <w:vAlign w:val="cente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en cas de difficulté </w:t>
            </w:r>
          </w:p>
        </w:tc>
        <w:tc>
          <w:tcPr>
            <w:tcBorders>
              <w:top w:color="000000" w:space="0" w:sz="6" w:val="single"/>
            </w:tcBorders>
            <w:vAlign w:val="center"/>
          </w:tcPr>
          <w:p w:rsidR="00000000" w:rsidDel="00000000" w:rsidP="00000000" w:rsidRDefault="00000000" w:rsidRPr="00000000" w14:paraId="0000007B">
            <w:pPr>
              <w:jc w:val="center"/>
              <w:rPr>
                <w:color w:val="000000"/>
              </w:rPr>
            </w:pPr>
            <w:r w:rsidDel="00000000" w:rsidR="00000000" w:rsidRPr="00000000">
              <w:rPr>
                <w:color w:val="000000"/>
                <w:sz w:val="96"/>
                <w:szCs w:val="96"/>
                <w:rtl w:val="0"/>
              </w:rPr>
              <w:t xml:space="preserve">🖐</w:t>
            </w:r>
            <w:r w:rsidDel="00000000" w:rsidR="00000000" w:rsidRPr="00000000">
              <w:rPr>
                <w:rtl w:val="0"/>
              </w:rPr>
            </w:r>
          </w:p>
        </w:tc>
      </w:tr>
    </w:tbl>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pStyle w:val="Heading2"/>
        <w:numPr>
          <w:ilvl w:val="0"/>
          <w:numId w:val="4"/>
        </w:numPr>
        <w:spacing w:line="240" w:lineRule="auto"/>
        <w:ind w:left="360" w:hanging="360"/>
        <w:rPr>
          <w:color w:val="000000"/>
        </w:rPr>
      </w:pPr>
      <w:bookmarkStart w:colFirst="0" w:colLast="0" w:name="_heading=h.4d34og8" w:id="8"/>
      <w:bookmarkEnd w:id="8"/>
      <w:r w:rsidDel="00000000" w:rsidR="00000000" w:rsidRPr="00000000">
        <w:rPr>
          <w:color w:val="000000"/>
          <w:rtl w:val="0"/>
        </w:rPr>
        <w:t xml:space="preserve">Exploitation des résultats </w:t>
      </w:r>
      <w:r w:rsidDel="00000000" w:rsidR="00000000" w:rsidRPr="00000000">
        <w:rPr>
          <w:b w:val="0"/>
          <w:rtl w:val="0"/>
        </w:rPr>
        <w:t xml:space="preserve">(</w:t>
      </w:r>
      <w:r w:rsidDel="00000000" w:rsidR="00000000" w:rsidRPr="00000000">
        <w:rPr>
          <w:b w:val="0"/>
          <w:color w:val="000000"/>
          <w:rtl w:val="0"/>
        </w:rPr>
        <w:t xml:space="preserve">10</w:t>
      </w:r>
      <w:r w:rsidDel="00000000" w:rsidR="00000000" w:rsidRPr="00000000">
        <w:rPr>
          <w:b w:val="0"/>
          <w:rtl w:val="0"/>
        </w:rPr>
        <w:t xml:space="preserve"> minutes conseillées)</w:t>
      </w: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Conclure sur l’influence du facteur cinétique choisi.</w:t>
      </w:r>
    </w:p>
    <w:p w:rsidR="00000000" w:rsidDel="00000000" w:rsidP="00000000" w:rsidRDefault="00000000" w:rsidRPr="00000000" w14:paraId="00000081">
      <w:pPr>
        <w:rPr>
          <w:rFonts w:ascii="Candara" w:cs="Candara" w:eastAsia="Candara" w:hAnsi="Candara"/>
          <w:color w:val="0070c0"/>
          <w:sz w:val="24"/>
          <w:szCs w:val="24"/>
        </w:rPr>
      </w:pPr>
      <w:r w:rsidDel="00000000" w:rsidR="00000000" w:rsidRPr="00000000">
        <w:rPr>
          <w:rFonts w:ascii="Candara" w:cs="Candara" w:eastAsia="Candara" w:hAnsi="Candara"/>
          <w:color w:val="0070c0"/>
          <w:sz w:val="24"/>
          <w:szCs w:val="24"/>
          <w:rtl w:val="0"/>
        </w:rPr>
        <w:t xml:space="preserve">  Normalement, le catalyseur a bien fait diminuer le temps de réaction tout en n’impactant pas l’avancement final : celui-ci a donc influencer la vitesse d’apparition des produits (notamment du diiode ainsi manifesté par sa couleur).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9640.0" w:type="dxa"/>
        <w:jc w:val="center"/>
        <w:tblBorders>
          <w:top w:color="000000" w:space="0" w:sz="18" w:val="single"/>
          <w:left w:color="000000" w:space="0" w:sz="18" w:val="single"/>
          <w:bottom w:color="000000" w:space="0" w:sz="18" w:val="single"/>
          <w:right w:color="000000" w:space="0" w:sz="18" w:val="single"/>
          <w:insideH w:color="000000" w:space="0" w:sz="6" w:val="single"/>
          <w:insideV w:color="000000" w:space="0" w:sz="6" w:val="single"/>
        </w:tblBorders>
        <w:tblLayout w:type="fixed"/>
        <w:tblLook w:val="0400"/>
      </w:tblPr>
      <w:tblGrid>
        <w:gridCol w:w="1418"/>
        <w:gridCol w:w="6804"/>
        <w:gridCol w:w="1418"/>
        <w:tblGridChange w:id="0">
          <w:tblGrid>
            <w:gridCol w:w="1418"/>
            <w:gridCol w:w="6804"/>
            <w:gridCol w:w="1418"/>
          </w:tblGrid>
        </w:tblGridChange>
      </w:tblGrid>
      <w:tr>
        <w:trPr>
          <w:cantSplit w:val="0"/>
          <w:tblHeader w:val="0"/>
        </w:trPr>
        <w:tc>
          <w:tcPr>
            <w:tcBorders>
              <w:top w:color="000000" w:space="0" w:sz="18" w:val="single"/>
              <w:bottom w:color="000000" w:space="0" w:sz="6" w:val="single"/>
              <w:right w:color="000000" w:space="0" w:sz="0" w:val="nil"/>
            </w:tcBorders>
            <w:shd w:fill="d9d9d9" w:val="clear"/>
            <w:vAlign w:val="center"/>
          </w:tcPr>
          <w:p w:rsidR="00000000" w:rsidDel="00000000" w:rsidP="00000000" w:rsidRDefault="00000000" w:rsidRPr="00000000" w14:paraId="00000083">
            <w:pPr>
              <w:jc w:val="center"/>
              <w:rPr>
                <w:color w:val="000000"/>
              </w:rPr>
            </w:pPr>
            <w:r w:rsidDel="00000000" w:rsidR="00000000" w:rsidRPr="00000000">
              <w:rPr>
                <w:rtl w:val="0"/>
              </w:rPr>
            </w:r>
          </w:p>
        </w:tc>
        <w:tc>
          <w:tcPr>
            <w:tcBorders>
              <w:top w:color="000000" w:space="0" w:sz="18" w:val="single"/>
              <w:left w:color="000000" w:space="0" w:sz="0" w:val="nil"/>
              <w:bottom w:color="000000" w:space="0" w:sz="6" w:val="single"/>
              <w:right w:color="000000" w:space="0" w:sz="0" w:val="nil"/>
            </w:tcBorders>
            <w:shd w:fill="d9d9d9" w:val="clear"/>
            <w:vAlign w:val="center"/>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FACULTATIF</w:t>
            </w:r>
          </w:p>
        </w:tc>
        <w:tc>
          <w:tcPr>
            <w:tcBorders>
              <w:top w:color="000000" w:space="0" w:sz="18" w:val="single"/>
              <w:left w:color="000000" w:space="0" w:sz="0" w:val="nil"/>
              <w:bottom w:color="000000" w:space="0" w:sz="6" w:val="single"/>
            </w:tcBorders>
            <w:shd w:fill="d9d9d9" w:val="clear"/>
            <w:vAlign w:val="center"/>
          </w:tcPr>
          <w:p w:rsidR="00000000" w:rsidDel="00000000" w:rsidP="00000000" w:rsidRDefault="00000000" w:rsidRPr="00000000" w14:paraId="00000085">
            <w:pPr>
              <w:jc w:val="center"/>
              <w:rPr>
                <w:color w:val="000000"/>
              </w:rPr>
            </w:pPr>
            <w:r w:rsidDel="00000000" w:rsidR="00000000" w:rsidRPr="00000000">
              <w:rPr>
                <w:rtl w:val="0"/>
              </w:rPr>
            </w:r>
          </w:p>
        </w:tc>
      </w:tr>
      <w:tr>
        <w:trPr>
          <w:cantSplit w:val="0"/>
          <w:tblHeader w:val="0"/>
        </w:trPr>
        <w:tc>
          <w:tcPr>
            <w:tcBorders>
              <w:top w:color="000000" w:space="0" w:sz="6" w:val="single"/>
            </w:tcBorders>
            <w:vAlign w:val="center"/>
          </w:tcPr>
          <w:p w:rsidR="00000000" w:rsidDel="00000000" w:rsidP="00000000" w:rsidRDefault="00000000" w:rsidRPr="00000000" w14:paraId="00000086">
            <w:pPr>
              <w:jc w:val="center"/>
              <w:rPr>
                <w:color w:val="000000"/>
                <w:sz w:val="96"/>
                <w:szCs w:val="96"/>
              </w:rPr>
            </w:pPr>
            <w:r w:rsidDel="00000000" w:rsidR="00000000" w:rsidRPr="00000000">
              <w:rPr>
                <w:color w:val="000000"/>
                <w:sz w:val="96"/>
                <w:szCs w:val="96"/>
                <w:rtl w:val="0"/>
              </w:rPr>
              <w:t xml:space="preserve">🖐</w:t>
            </w:r>
          </w:p>
        </w:tc>
        <w:tc>
          <w:tcPr>
            <w:tcBorders>
              <w:top w:color="000000" w:space="0" w:sz="6" w:val="single"/>
            </w:tcBorders>
            <w:vAlign w:val="center"/>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en cas de difficulté </w:t>
            </w:r>
          </w:p>
        </w:tc>
        <w:tc>
          <w:tcPr>
            <w:tcBorders>
              <w:top w:color="000000" w:space="0" w:sz="6" w:val="single"/>
            </w:tcBorders>
            <w:vAlign w:val="center"/>
          </w:tcPr>
          <w:p w:rsidR="00000000" w:rsidDel="00000000" w:rsidP="00000000" w:rsidRDefault="00000000" w:rsidRPr="00000000" w14:paraId="00000088">
            <w:pPr>
              <w:jc w:val="center"/>
              <w:rPr>
                <w:color w:val="000000"/>
              </w:rPr>
            </w:pPr>
            <w:r w:rsidDel="00000000" w:rsidR="00000000" w:rsidRPr="00000000">
              <w:rPr>
                <w:color w:val="000000"/>
                <w:sz w:val="96"/>
                <w:szCs w:val="96"/>
                <w:rtl w:val="0"/>
              </w:rPr>
              <w:t xml:space="preserve">🖐</w:t>
            </w:r>
            <w:r w:rsidDel="00000000" w:rsidR="00000000" w:rsidRPr="00000000">
              <w:rPr>
                <w:rtl w:val="0"/>
              </w:rPr>
            </w:r>
          </w:p>
        </w:tc>
      </w:tr>
    </w:tbl>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Défaire le montage et ranger la paillasse avant de quitter la salle.</w:t>
      </w:r>
    </w:p>
    <w:sectPr>
      <w:headerReference r:id="rId11" w:type="default"/>
      <w:footerReference r:id="rId12" w:type="default"/>
      <w:pgSz w:h="16838" w:w="11906" w:orient="portrait"/>
      <w:pgMar w:bottom="851" w:top="851" w:left="851" w:right="851" w:header="851"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Garamon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Symbol"/>
  <w:font w:name="Pacifico">
    <w:embedRegular w:fontKey="{00000000-0000-0000-0000-000000000000}" r:id="rId7" w:subsetted="0"/>
  </w:font>
  <w:font w:name="Candara">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Noto Sans Symbols"/>
  <w:font w:name="Cambria Math">
    <w:embedRegular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sur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851"/>
        <w:tab w:val="center" w:pos="5103"/>
        <w:tab w:val="center" w:pos="9498"/>
      </w:tabs>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MESSAGE SECRET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Session</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851"/>
        <w:tab w:val="center" w:pos="5103"/>
        <w:tab w:val="center" w:pos="9498"/>
      </w:tabs>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tab/>
      <w:t xml:space="preserve">2022</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851"/>
        <w:tab w:val="center" w:pos="5103"/>
        <w:tab w:val="center" w:pos="9498"/>
      </w:tabs>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3">
    <w:lvl w:ilvl="0">
      <w:start w:val="1"/>
      <w:numFmt w:val="decimal"/>
      <w:lvlText w:val="%1."/>
      <w:lvlJc w:val="left"/>
      <w:pPr>
        <w:ind w:left="360" w:hanging="360"/>
      </w:pPr>
      <w:rPr>
        <w:b w:val="1"/>
      </w:rPr>
    </w:lvl>
    <w:lvl w:ilvl="1">
      <w:start w:val="1"/>
      <w:numFmt w:val="decimal"/>
      <w:lvlText w:val="%1.%2."/>
      <w:lvlJc w:val="left"/>
      <w:pPr>
        <w:ind w:left="757" w:hanging="360"/>
      </w:pPr>
      <w:rPr>
        <w:b w:val="0"/>
      </w:rPr>
    </w:lvl>
    <w:lvl w:ilvl="2">
      <w:start w:val="1"/>
      <w:numFmt w:val="decimal"/>
      <w:lvlText w:val="%1.%2.%3."/>
      <w:lvlJc w:val="left"/>
      <w:pPr>
        <w:ind w:left="1514" w:hanging="720"/>
      </w:pPr>
      <w:rPr/>
    </w:lvl>
    <w:lvl w:ilvl="3">
      <w:start w:val="1"/>
      <w:numFmt w:val="decimal"/>
      <w:lvlText w:val="%1.%2.%3.%4."/>
      <w:lvlJc w:val="left"/>
      <w:pPr>
        <w:ind w:left="1911" w:hanging="720"/>
      </w:pPr>
      <w:rPr/>
    </w:lvl>
    <w:lvl w:ilvl="4">
      <w:start w:val="1"/>
      <w:numFmt w:val="decimal"/>
      <w:lvlText w:val="%1.%2.%3.%4.%5."/>
      <w:lvlJc w:val="left"/>
      <w:pPr>
        <w:ind w:left="2668" w:hanging="1080"/>
      </w:pPr>
      <w:rPr/>
    </w:lvl>
    <w:lvl w:ilvl="5">
      <w:start w:val="1"/>
      <w:numFmt w:val="decimal"/>
      <w:lvlText w:val="%1.%2.%3.%4.%5.%6."/>
      <w:lvlJc w:val="left"/>
      <w:pPr>
        <w:ind w:left="3065" w:hanging="1080"/>
      </w:pPr>
      <w:rPr/>
    </w:lvl>
    <w:lvl w:ilvl="6">
      <w:start w:val="1"/>
      <w:numFmt w:val="decimal"/>
      <w:lvlText w:val="%1.%2.%3.%4.%5.%6.%7."/>
      <w:lvlJc w:val="left"/>
      <w:pPr>
        <w:ind w:left="3822" w:hanging="1440"/>
      </w:pPr>
      <w:rPr/>
    </w:lvl>
    <w:lvl w:ilvl="7">
      <w:start w:val="1"/>
      <w:numFmt w:val="decimal"/>
      <w:lvlText w:val="%1.%2.%3.%4.%5.%6.%7.%8."/>
      <w:lvlJc w:val="left"/>
      <w:pPr>
        <w:ind w:left="4219" w:hanging="1440"/>
      </w:pPr>
      <w:rPr/>
    </w:lvl>
    <w:lvl w:ilvl="8">
      <w:start w:val="1"/>
      <w:numFmt w:val="decimal"/>
      <w:lvlText w:val="%1.%2.%3.%4.%5.%6.%7.%8.%9."/>
      <w:lvlJc w:val="left"/>
      <w:pPr>
        <w:ind w:left="4976" w:hanging="1800"/>
      </w:pPr>
      <w:rPr/>
    </w:lvl>
  </w:abstractNum>
  <w:abstractNum w:abstractNumId="4">
    <w:lvl w:ilvl="0">
      <w:start w:val="3"/>
      <w:numFmt w:val="decimal"/>
      <w:lvlText w:val="%1."/>
      <w:lvlJc w:val="left"/>
      <w:pPr>
        <w:ind w:left="360" w:hanging="360"/>
      </w:pPr>
      <w:rPr/>
    </w:lvl>
    <w:lvl w:ilvl="1">
      <w:start w:val="1"/>
      <w:numFmt w:val="decimal"/>
      <w:lvlText w:val="%1.%2."/>
      <w:lvlJc w:val="left"/>
      <w:pPr>
        <w:ind w:left="757" w:hanging="360"/>
      </w:pPr>
      <w:rPr>
        <w:b w:val="0"/>
      </w:rPr>
    </w:lvl>
    <w:lvl w:ilvl="2">
      <w:start w:val="1"/>
      <w:numFmt w:val="decimal"/>
      <w:lvlText w:val="%1.%2.%3."/>
      <w:lvlJc w:val="left"/>
      <w:pPr>
        <w:ind w:left="1514" w:hanging="720"/>
      </w:pPr>
      <w:rPr/>
    </w:lvl>
    <w:lvl w:ilvl="3">
      <w:start w:val="1"/>
      <w:numFmt w:val="decimal"/>
      <w:lvlText w:val="%1.%2.%3.%4."/>
      <w:lvlJc w:val="left"/>
      <w:pPr>
        <w:ind w:left="1911" w:hanging="720"/>
      </w:pPr>
      <w:rPr/>
    </w:lvl>
    <w:lvl w:ilvl="4">
      <w:start w:val="1"/>
      <w:numFmt w:val="decimal"/>
      <w:lvlText w:val="%1.%2.%3.%4.%5."/>
      <w:lvlJc w:val="left"/>
      <w:pPr>
        <w:ind w:left="2668" w:hanging="1080"/>
      </w:pPr>
      <w:rPr/>
    </w:lvl>
    <w:lvl w:ilvl="5">
      <w:start w:val="1"/>
      <w:numFmt w:val="decimal"/>
      <w:lvlText w:val="%1.%2.%3.%4.%5.%6."/>
      <w:lvlJc w:val="left"/>
      <w:pPr>
        <w:ind w:left="3065" w:hanging="1080"/>
      </w:pPr>
      <w:rPr/>
    </w:lvl>
    <w:lvl w:ilvl="6">
      <w:start w:val="1"/>
      <w:numFmt w:val="decimal"/>
      <w:lvlText w:val="%1.%2.%3.%4.%5.%6.%7."/>
      <w:lvlJc w:val="left"/>
      <w:pPr>
        <w:ind w:left="3822" w:hanging="1440"/>
      </w:pPr>
      <w:rPr/>
    </w:lvl>
    <w:lvl w:ilvl="7">
      <w:start w:val="1"/>
      <w:numFmt w:val="decimal"/>
      <w:lvlText w:val="%1.%2.%3.%4.%5.%6.%7.%8."/>
      <w:lvlJc w:val="left"/>
      <w:pPr>
        <w:ind w:left="4219" w:hanging="1440"/>
      </w:pPr>
      <w:rPr/>
    </w:lvl>
    <w:lvl w:ilvl="8">
      <w:start w:val="1"/>
      <w:numFmt w:val="decimal"/>
      <w:lvlText w:val="%1.%2.%3.%4.%5.%6.%7.%8.%9."/>
      <w:lvlJc w:val="left"/>
      <w:pPr>
        <w:ind w:left="4976" w:hanging="180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fr-FR"/>
      </w:rPr>
    </w:rPrDefault>
    <w:pPrDefault>
      <w:pPr>
        <w:spacing w:line="264"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000000" w:space="1" w:sz="12" w:val="single"/>
        <w:left w:color="000000" w:space="1" w:sz="12" w:val="single"/>
        <w:bottom w:color="000000" w:space="1" w:sz="12" w:val="single"/>
        <w:right w:color="000000" w:space="1" w:sz="12" w:val="single"/>
      </w:pBdr>
      <w:shd w:fill="d9d9d9" w:val="clear"/>
      <w:tabs>
        <w:tab w:val="left" w:pos="-1985"/>
        <w:tab w:val="left" w:pos="567"/>
      </w:tabs>
      <w:ind w:left="0" w:firstLine="0"/>
      <w:jc w:val="center"/>
    </w:pPr>
    <w:rPr>
      <w:b w:val="1"/>
    </w:rPr>
  </w:style>
  <w:style w:type="paragraph" w:styleId="Heading2">
    <w:name w:val="heading 2"/>
    <w:basedOn w:val="Normal"/>
    <w:next w:val="Normal"/>
    <w:pPr>
      <w:keepNext w:val="1"/>
      <w:ind w:left="567" w:hanging="567"/>
    </w:pPr>
    <w:rPr>
      <w:b w:val="1"/>
    </w:rPr>
  </w:style>
  <w:style w:type="paragraph" w:styleId="Heading3">
    <w:name w:val="heading 3"/>
    <w:basedOn w:val="Normal"/>
    <w:next w:val="Normal"/>
    <w:pPr>
      <w:keepNext w:val="1"/>
      <w:ind w:left="1418" w:hanging="850"/>
    </w:pPr>
    <w:rPr/>
  </w:style>
  <w:style w:type="paragraph" w:styleId="Heading4">
    <w:name w:val="heading 4"/>
    <w:basedOn w:val="Normal"/>
    <w:next w:val="Normal"/>
    <w:pPr>
      <w:ind w:left="2211" w:hanging="1131"/>
    </w:pPr>
    <w:rPr/>
  </w:style>
  <w:style w:type="paragraph" w:styleId="Heading5">
    <w:name w:val="heading 5"/>
    <w:basedOn w:val="Normal"/>
    <w:next w:val="Normal"/>
    <w:pPr>
      <w:keepNext w:val="1"/>
      <w:tabs>
        <w:tab w:val="left" w:pos="-1985"/>
      </w:tabs>
    </w:pPr>
    <w:rPr>
      <w:rFonts w:ascii="Garamond" w:cs="Garamond" w:eastAsia="Garamond" w:hAnsi="Garamond"/>
      <w:b w:val="1"/>
    </w:rPr>
  </w:style>
  <w:style w:type="paragraph" w:styleId="Heading6">
    <w:name w:val="heading 6"/>
    <w:basedOn w:val="Normal"/>
    <w:next w:val="Normal"/>
    <w:pPr>
      <w:keepNext w:val="1"/>
      <w:ind w:right="-2472"/>
    </w:pPr>
    <w:rPr>
      <w:i w:val="1"/>
      <w:color w:val="ff000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356DD6"/>
    <w:pPr>
      <w:spacing w:line="264" w:lineRule="auto"/>
      <w:jc w:val="both"/>
    </w:pPr>
    <w:rPr>
      <w:rFonts w:ascii="Arial" w:cs="Arial" w:hAnsi="Arial"/>
      <w:color w:val="000000"/>
    </w:rPr>
  </w:style>
  <w:style w:type="paragraph" w:styleId="Titre1">
    <w:name w:val="heading 1"/>
    <w:basedOn w:val="Normal"/>
    <w:next w:val="Normal"/>
    <w:qFormat w:val="1"/>
    <w:rsid w:val="00D9409B"/>
    <w:pPr>
      <w:numPr>
        <w:numId w:val="1"/>
      </w:numPr>
      <w:pBdr>
        <w:top w:color="auto" w:space="1" w:sz="12" w:val="single"/>
        <w:left w:color="auto" w:space="1" w:sz="12" w:val="single"/>
        <w:bottom w:color="auto" w:space="1" w:sz="12" w:val="single"/>
        <w:right w:color="auto" w:space="1" w:sz="12" w:val="single"/>
      </w:pBdr>
      <w:shd w:color="auto" w:fill="ffffff" w:val="pct15"/>
      <w:tabs>
        <w:tab w:val="left" w:pos="-1985"/>
        <w:tab w:val="left" w:pos="567"/>
      </w:tabs>
      <w:autoSpaceDE w:val="0"/>
      <w:autoSpaceDN w:val="0"/>
      <w:jc w:val="center"/>
      <w:outlineLvl w:val="0"/>
    </w:pPr>
    <w:rPr>
      <w:b w:val="1"/>
      <w:bCs w:val="1"/>
    </w:rPr>
  </w:style>
  <w:style w:type="paragraph" w:styleId="Titre2">
    <w:name w:val="heading 2"/>
    <w:basedOn w:val="Normal"/>
    <w:next w:val="Normal"/>
    <w:link w:val="Titre2Car"/>
    <w:qFormat w:val="1"/>
    <w:rsid w:val="00207C64"/>
    <w:pPr>
      <w:keepNext w:val="1"/>
      <w:numPr>
        <w:ilvl w:val="1"/>
        <w:numId w:val="1"/>
      </w:numPr>
      <w:outlineLvl w:val="1"/>
    </w:pPr>
    <w:rPr>
      <w:b w:val="1"/>
    </w:rPr>
  </w:style>
  <w:style w:type="paragraph" w:styleId="Titre3">
    <w:name w:val="heading 3"/>
    <w:basedOn w:val="Normal"/>
    <w:next w:val="Titre4"/>
    <w:qFormat w:val="1"/>
    <w:rsid w:val="00125FB0"/>
    <w:pPr>
      <w:keepNext w:val="1"/>
      <w:numPr>
        <w:ilvl w:val="2"/>
        <w:numId w:val="1"/>
      </w:numPr>
      <w:outlineLvl w:val="2"/>
    </w:pPr>
  </w:style>
  <w:style w:type="paragraph" w:styleId="Titre4">
    <w:name w:val="heading 4"/>
    <w:basedOn w:val="Normal"/>
    <w:next w:val="Normal"/>
    <w:autoRedefine w:val="1"/>
    <w:rsid w:val="00354EBD"/>
    <w:pPr>
      <w:numPr>
        <w:ilvl w:val="3"/>
        <w:numId w:val="1"/>
      </w:numPr>
      <w:outlineLvl w:val="3"/>
    </w:pPr>
  </w:style>
  <w:style w:type="paragraph" w:styleId="Titre5">
    <w:name w:val="heading 5"/>
    <w:basedOn w:val="Normal"/>
    <w:next w:val="Normal"/>
    <w:rsid w:val="001D6C11"/>
    <w:pPr>
      <w:keepNext w:val="1"/>
      <w:tabs>
        <w:tab w:val="left" w:pos="-1985"/>
      </w:tabs>
      <w:autoSpaceDE w:val="0"/>
      <w:autoSpaceDN w:val="0"/>
      <w:outlineLvl w:val="4"/>
    </w:pPr>
    <w:rPr>
      <w:rFonts w:ascii="Garamond" w:hAnsi="Garamond"/>
      <w:b w:val="1"/>
      <w:bCs w:val="1"/>
    </w:rPr>
  </w:style>
  <w:style w:type="paragraph" w:styleId="Titre6">
    <w:name w:val="heading 6"/>
    <w:basedOn w:val="Normal"/>
    <w:next w:val="Normal"/>
    <w:rsid w:val="001D6C11"/>
    <w:pPr>
      <w:keepNext w:val="1"/>
      <w:ind w:right="-2472"/>
      <w:outlineLvl w:val="5"/>
    </w:pPr>
    <w:rPr>
      <w:i w:val="1"/>
      <w:color w:val="ff0000"/>
    </w:rPr>
  </w:style>
  <w:style w:type="paragraph" w:styleId="Titre7">
    <w:name w:val="heading 7"/>
    <w:basedOn w:val="Normal"/>
    <w:next w:val="Normal"/>
    <w:rsid w:val="001D6C11"/>
    <w:pPr>
      <w:keepNext w:val="1"/>
      <w:tabs>
        <w:tab w:val="left" w:pos="-1985"/>
      </w:tabs>
      <w:autoSpaceDE w:val="0"/>
      <w:autoSpaceDN w:val="0"/>
      <w:jc w:val="center"/>
      <w:outlineLvl w:val="6"/>
    </w:pPr>
    <w:rPr>
      <w:b w:val="1"/>
      <w:bCs w:val="1"/>
      <w:sz w:val="28"/>
      <w:szCs w:val="28"/>
    </w:rPr>
  </w:style>
  <w:style w:type="paragraph" w:styleId="Titre8">
    <w:name w:val="heading 8"/>
    <w:basedOn w:val="Normal"/>
    <w:next w:val="Normal"/>
    <w:rsid w:val="001D6C11"/>
    <w:pPr>
      <w:keepNext w:val="1"/>
      <w:tabs>
        <w:tab w:val="left" w:pos="-1985"/>
      </w:tabs>
      <w:autoSpaceDE w:val="0"/>
      <w:autoSpaceDN w:val="0"/>
      <w:ind w:left="-567" w:right="-483"/>
      <w:outlineLvl w:val="7"/>
    </w:pPr>
    <w:rPr>
      <w:b w:val="1"/>
      <w:bCs w:val="1"/>
      <w:sz w:val="28"/>
      <w:szCs w:val="28"/>
    </w:rPr>
  </w:style>
  <w:style w:type="paragraph" w:styleId="Titre9">
    <w:name w:val="heading 9"/>
    <w:basedOn w:val="Normal"/>
    <w:next w:val="Normal"/>
    <w:rsid w:val="001D6C11"/>
    <w:pPr>
      <w:keepNext w:val="1"/>
      <w:outlineLvl w:val="8"/>
    </w:pPr>
    <w:rPr>
      <w:b w:val="1"/>
    </w:rPr>
  </w:style>
  <w:style w:type="character" w:styleId="Policepardfaut" w:default="1">
    <w:name w:val="Default Paragraph Font"/>
    <w:uiPriority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ECErepres" w:customStyle="1">
    <w:name w:val="ECErepères"/>
    <w:basedOn w:val="ECEcorps"/>
    <w:qFormat w:val="1"/>
    <w:rsid w:val="00197F7D"/>
    <w:pPr>
      <w:jc w:val="center"/>
    </w:pPr>
    <w:rPr>
      <w:sz w:val="18"/>
      <w:szCs w:val="18"/>
    </w:rPr>
  </w:style>
  <w:style w:type="paragraph" w:styleId="ECEappel" w:customStyle="1">
    <w:name w:val="ECEappel"/>
    <w:basedOn w:val="ECEcorps"/>
    <w:qFormat w:val="1"/>
    <w:rsid w:val="00FB14E2"/>
    <w:pPr>
      <w:framePr w:lines="0" w:hSpace="141" w:wrap="around" w:hAnchor="margin" w:vAnchor="text" w:xAlign="center" w:y="98"/>
      <w:jc w:val="center"/>
    </w:pPr>
    <w:rPr>
      <w:rFonts w:eastAsia="Arial Unicode MS"/>
      <w:b w:val="1"/>
    </w:rPr>
  </w:style>
  <w:style w:type="paragraph" w:styleId="Retraitnormal">
    <w:name w:val="Normal Indent"/>
    <w:basedOn w:val="Normal"/>
    <w:rsid w:val="001D6C11"/>
    <w:pPr>
      <w:tabs>
        <w:tab w:val="left" w:pos="-1985"/>
      </w:tabs>
      <w:autoSpaceDE w:val="0"/>
      <w:autoSpaceDN w:val="0"/>
      <w:ind w:left="708"/>
    </w:pPr>
  </w:style>
  <w:style w:type="paragraph" w:styleId="Pieddepage">
    <w:name w:val="footer"/>
    <w:basedOn w:val="Normal"/>
    <w:rsid w:val="001D6C11"/>
    <w:pPr>
      <w:tabs>
        <w:tab w:val="left" w:pos="-1985"/>
        <w:tab w:val="center" w:pos="4536"/>
        <w:tab w:val="right" w:pos="9072"/>
      </w:tabs>
      <w:autoSpaceDE w:val="0"/>
      <w:autoSpaceDN w:val="0"/>
    </w:pPr>
    <w:rPr>
      <w:sz w:val="22"/>
      <w:szCs w:val="22"/>
    </w:rPr>
  </w:style>
  <w:style w:type="paragraph" w:styleId="remarque" w:customStyle="1">
    <w:name w:val="remarque"/>
    <w:basedOn w:val="Normal"/>
    <w:rsid w:val="001D6C11"/>
    <w:pPr>
      <w:tabs>
        <w:tab w:val="left" w:pos="-1985"/>
      </w:tabs>
      <w:autoSpaceDE w:val="0"/>
      <w:autoSpaceDN w:val="0"/>
    </w:pPr>
    <w:rPr>
      <w:b w:val="1"/>
      <w:bCs w:val="1"/>
    </w:rPr>
  </w:style>
  <w:style w:type="paragraph" w:styleId="Retraitcorpsdetexte">
    <w:name w:val="Body Text Indent"/>
    <w:basedOn w:val="Normal"/>
    <w:rsid w:val="001D6C11"/>
    <w:pPr>
      <w:tabs>
        <w:tab w:val="left" w:pos="-1985"/>
      </w:tabs>
      <w:autoSpaceDE w:val="0"/>
      <w:autoSpaceDN w:val="0"/>
      <w:ind w:firstLine="426"/>
    </w:pPr>
    <w:rPr>
      <w:sz w:val="22"/>
      <w:szCs w:val="22"/>
    </w:rPr>
  </w:style>
  <w:style w:type="paragraph" w:styleId="En-tte">
    <w:name w:val="header"/>
    <w:basedOn w:val="Normal"/>
    <w:rsid w:val="001D6C11"/>
    <w:pPr>
      <w:framePr w:lines="0" w:hSpace="142" w:wrap="auto" w:hAnchor="text" w:vAnchor="text" w:y="1"/>
      <w:tabs>
        <w:tab w:val="left" w:pos="-1985"/>
        <w:tab w:val="center" w:pos="4536"/>
        <w:tab w:val="right" w:pos="9072"/>
      </w:tabs>
      <w:autoSpaceDE w:val="0"/>
      <w:autoSpaceDN w:val="0"/>
    </w:pPr>
  </w:style>
  <w:style w:type="paragraph" w:styleId="Notedebasdepage">
    <w:name w:val="footnote text"/>
    <w:basedOn w:val="Normal"/>
    <w:semiHidden w:val="1"/>
    <w:rsid w:val="001D6C11"/>
  </w:style>
  <w:style w:type="paragraph" w:styleId="Sous-titre">
    <w:name w:val="Subtitle"/>
    <w:basedOn w:val="Normal"/>
    <w:rsid w:val="001D6C11"/>
    <w:pPr>
      <w:jc w:val="center"/>
    </w:pPr>
    <w:rPr>
      <w:b w:val="1"/>
      <w:i w:val="1"/>
      <w:sz w:val="28"/>
    </w:rPr>
  </w:style>
  <w:style w:type="character" w:styleId="Marquedecommentaire">
    <w:name w:val="annotation reference"/>
    <w:semiHidden w:val="1"/>
    <w:rsid w:val="001D6C11"/>
    <w:rPr>
      <w:sz w:val="16"/>
      <w:szCs w:val="16"/>
    </w:rPr>
  </w:style>
  <w:style w:type="paragraph" w:styleId="Commentaire">
    <w:name w:val="annotation text"/>
    <w:basedOn w:val="Normal"/>
    <w:semiHidden w:val="1"/>
    <w:rsid w:val="001D6C11"/>
  </w:style>
  <w:style w:type="paragraph" w:styleId="Objetducommentaire">
    <w:name w:val="annotation subject"/>
    <w:basedOn w:val="Commentaire"/>
    <w:next w:val="Commentaire"/>
    <w:semiHidden w:val="1"/>
    <w:rsid w:val="001D6C11"/>
    <w:rPr>
      <w:b w:val="1"/>
      <w:bCs w:val="1"/>
    </w:rPr>
  </w:style>
  <w:style w:type="paragraph" w:styleId="Textedebulles">
    <w:name w:val="Balloon Text"/>
    <w:basedOn w:val="Normal"/>
    <w:rsid w:val="001D6C11"/>
    <w:rPr>
      <w:rFonts w:ascii="Tahoma" w:cs="Tahoma" w:hAnsi="Tahoma"/>
      <w:sz w:val="16"/>
      <w:szCs w:val="16"/>
    </w:rPr>
  </w:style>
  <w:style w:type="table" w:styleId="Grilledutableau">
    <w:name w:val="Table Grid"/>
    <w:basedOn w:val="TableauNormal"/>
    <w:rsid w:val="003A042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M1">
    <w:name w:val="toc 1"/>
    <w:aliases w:val="ECEsomm1"/>
    <w:basedOn w:val="ECEcorps"/>
    <w:next w:val="Normal"/>
    <w:uiPriority w:val="39"/>
    <w:qFormat w:val="1"/>
    <w:rsid w:val="00CA6FD0"/>
    <w:pPr>
      <w:tabs>
        <w:tab w:val="left" w:pos="284"/>
        <w:tab w:val="right" w:leader="dot" w:pos="9628"/>
      </w:tabs>
    </w:pPr>
  </w:style>
  <w:style w:type="paragraph" w:styleId="TM2">
    <w:name w:val="toc 2"/>
    <w:aliases w:val="ECEsomm2"/>
    <w:basedOn w:val="Normal"/>
    <w:next w:val="Normal"/>
    <w:uiPriority w:val="39"/>
    <w:unhideWhenUsed w:val="1"/>
    <w:qFormat w:val="1"/>
    <w:rsid w:val="00910B6F"/>
    <w:pPr>
      <w:tabs>
        <w:tab w:val="right" w:leader="dot" w:pos="9628"/>
      </w:tabs>
      <w:spacing w:after="100" w:line="276" w:lineRule="auto"/>
      <w:ind w:left="221"/>
    </w:pPr>
    <w:rPr>
      <w:noProof w:val="1"/>
      <w:color w:val="auto"/>
      <w:lang w:eastAsia="en-US"/>
    </w:rPr>
  </w:style>
  <w:style w:type="paragraph" w:styleId="TM3">
    <w:name w:val="toc 3"/>
    <w:basedOn w:val="Normal"/>
    <w:next w:val="Normal"/>
    <w:autoRedefine w:val="1"/>
    <w:uiPriority w:val="39"/>
    <w:unhideWhenUsed w:val="1"/>
    <w:rsid w:val="00A20F44"/>
    <w:pPr>
      <w:tabs>
        <w:tab w:val="right" w:leader="dot" w:pos="9628"/>
      </w:tabs>
      <w:spacing w:after="100" w:line="276" w:lineRule="auto"/>
      <w:ind w:left="442"/>
    </w:pPr>
    <w:rPr>
      <w:rFonts w:ascii="Calibri" w:cs="Times New Roman" w:hAnsi="Calibri"/>
      <w:color w:val="auto"/>
      <w:sz w:val="22"/>
      <w:szCs w:val="22"/>
      <w:lang w:eastAsia="en-US"/>
    </w:rPr>
  </w:style>
  <w:style w:type="paragraph" w:styleId="StyleGrasCentrMotifTransparenteArrire-plan2" w:customStyle="1">
    <w:name w:val="Style Gras Centré Motif : Transparente (Arrière-plan 2)"/>
    <w:basedOn w:val="Normal"/>
    <w:rsid w:val="00B97EB7"/>
    <w:pPr>
      <w:shd w:color="auto" w:fill="eeece1" w:val="clear"/>
      <w:jc w:val="center"/>
    </w:pPr>
    <w:rPr>
      <w:rFonts w:cs="Times New Roman"/>
      <w:b w:val="1"/>
      <w:bCs w:val="1"/>
    </w:rPr>
  </w:style>
  <w:style w:type="paragraph" w:styleId="Default" w:customStyle="1">
    <w:name w:val="Default"/>
    <w:uiPriority w:val="99"/>
    <w:rsid w:val="00BF76AC"/>
    <w:pPr>
      <w:autoSpaceDE w:val="0"/>
      <w:autoSpaceDN w:val="0"/>
      <w:adjustRightInd w:val="0"/>
    </w:pPr>
    <w:rPr>
      <w:rFonts w:ascii="Calibri" w:cs="Calibri" w:eastAsia="MS ??" w:hAnsi="Calibri"/>
      <w:color w:val="000000"/>
      <w:sz w:val="24"/>
      <w:szCs w:val="24"/>
    </w:rPr>
  </w:style>
  <w:style w:type="character" w:styleId="Titre2Car" w:customStyle="1">
    <w:name w:val="Titre 2 Car"/>
    <w:link w:val="Titre2"/>
    <w:rsid w:val="00BF76AC"/>
    <w:rPr>
      <w:rFonts w:ascii="Arial" w:cs="Arial" w:hAnsi="Arial"/>
      <w:b w:val="1"/>
      <w:color w:val="000000"/>
    </w:rPr>
  </w:style>
  <w:style w:type="paragraph" w:styleId="ECEcorps" w:customStyle="1">
    <w:name w:val="ECEcorps"/>
    <w:uiPriority w:val="99"/>
    <w:qFormat w:val="1"/>
    <w:rsid w:val="00C06213"/>
    <w:pPr>
      <w:spacing w:line="264" w:lineRule="auto"/>
      <w:jc w:val="both"/>
    </w:pPr>
    <w:rPr>
      <w:rFonts w:ascii="Arial" w:cs="Arial" w:hAnsi="Arial"/>
    </w:rPr>
  </w:style>
  <w:style w:type="paragraph" w:styleId="ECEtitre" w:customStyle="1">
    <w:name w:val="ECEtitre"/>
    <w:basedOn w:val="ECEcorps"/>
    <w:next w:val="ECEcorps"/>
    <w:qFormat w:val="1"/>
    <w:rsid w:val="00E2460E"/>
    <w:pPr>
      <w:autoSpaceDE w:val="0"/>
      <w:autoSpaceDN w:val="0"/>
      <w:adjustRightInd w:val="0"/>
    </w:pPr>
    <w:rPr>
      <w:b w:val="1"/>
      <w:u w:val="single"/>
    </w:rPr>
  </w:style>
  <w:style w:type="paragraph" w:styleId="ECEfiche" w:customStyle="1">
    <w:name w:val="ECEfiche"/>
    <w:basedOn w:val="Titre1"/>
    <w:next w:val="ECEcorps"/>
    <w:qFormat w:val="1"/>
    <w:rsid w:val="00A12834"/>
    <w:pPr>
      <w:numPr>
        <w:numId w:val="0"/>
      </w:numPr>
    </w:pPr>
    <w:rPr>
      <w:b w:val="0"/>
    </w:rPr>
  </w:style>
  <w:style w:type="paragraph" w:styleId="ECErponse" w:customStyle="1">
    <w:name w:val="ECEréponse"/>
    <w:basedOn w:val="ECEcorps"/>
    <w:qFormat w:val="1"/>
    <w:rsid w:val="00C22A4C"/>
    <w:pPr>
      <w:autoSpaceDE w:val="0"/>
      <w:autoSpaceDN w:val="0"/>
      <w:adjustRightInd w:val="0"/>
      <w:spacing w:before="240" w:line="240" w:lineRule="auto"/>
    </w:pPr>
    <w:rPr>
      <w:bCs w:val="1"/>
      <w:szCs w:val="22"/>
    </w:rPr>
  </w:style>
  <w:style w:type="paragraph" w:styleId="ECEpartie" w:customStyle="1">
    <w:name w:val="ECEpartie"/>
    <w:basedOn w:val="ECEcorps"/>
    <w:next w:val="ECEcorps"/>
    <w:qFormat w:val="1"/>
    <w:rsid w:val="00452138"/>
    <w:pPr>
      <w:numPr>
        <w:numId w:val="4"/>
      </w:numPr>
    </w:pPr>
    <w:rPr>
      <w:b w:val="1"/>
    </w:rPr>
  </w:style>
  <w:style w:type="paragraph" w:styleId="ECEcoeff" w:customStyle="1">
    <w:name w:val="ECEcoeff"/>
    <w:basedOn w:val="ECEcorps"/>
    <w:next w:val="ECEcorps"/>
    <w:qFormat w:val="1"/>
    <w:rsid w:val="0003345D"/>
    <w:rPr>
      <w:b w:val="1"/>
      <w:sz w:val="22"/>
      <w:szCs w:val="22"/>
    </w:rPr>
  </w:style>
  <w:style w:type="paragraph" w:styleId="ECEbordure" w:customStyle="1">
    <w:name w:val="ECEbordure"/>
    <w:basedOn w:val="ECEcorps"/>
    <w:qFormat w:val="1"/>
    <w:rsid w:val="00180BB9"/>
    <w:pPr>
      <w:pBdr>
        <w:top w:color="auto" w:space="1" w:sz="12" w:val="single"/>
        <w:left w:color="auto" w:space="4" w:sz="12" w:val="single"/>
        <w:bottom w:color="auto" w:space="1" w:sz="12" w:val="single"/>
        <w:right w:color="auto" w:space="4" w:sz="12" w:val="single"/>
      </w:pBdr>
      <w:ind w:left="284" w:right="281"/>
    </w:pPr>
  </w:style>
  <w:style w:type="paragraph" w:styleId="ECEsommaire" w:customStyle="1">
    <w:name w:val="ECEsommaire"/>
    <w:basedOn w:val="ECEcorps"/>
    <w:qFormat w:val="1"/>
    <w:rsid w:val="0060508C"/>
    <w:pPr>
      <w:jc w:val="center"/>
    </w:pPr>
    <w:rPr>
      <w:b w:val="1"/>
      <w:sz w:val="24"/>
      <w:szCs w:val="24"/>
    </w:rPr>
  </w:style>
  <w:style w:type="paragraph" w:styleId="ECEpuce1" w:customStyle="1">
    <w:name w:val="ECEpuce1"/>
    <w:basedOn w:val="ECEcorps"/>
    <w:qFormat w:val="1"/>
    <w:rsid w:val="0060508C"/>
    <w:pPr>
      <w:numPr>
        <w:numId w:val="2"/>
      </w:numPr>
    </w:pPr>
    <w:rPr>
      <w:rFonts w:eastAsia="Arial Unicode MS"/>
      <w:bCs w:val="1"/>
      <w:iCs w:val="1"/>
    </w:rPr>
  </w:style>
  <w:style w:type="paragraph" w:styleId="ECEpuce2" w:customStyle="1">
    <w:name w:val="ECEpuce2"/>
    <w:basedOn w:val="ECEcorps"/>
    <w:qFormat w:val="1"/>
    <w:rsid w:val="0060508C"/>
    <w:pPr>
      <w:numPr>
        <w:ilvl w:val="2"/>
        <w:numId w:val="2"/>
      </w:numPr>
      <w:ind w:left="1491" w:hanging="357"/>
    </w:pPr>
    <w:rPr>
      <w:rFonts w:eastAsia="Arial Unicode MS"/>
      <w:bCs w:val="1"/>
      <w:iCs w:val="1"/>
    </w:rPr>
  </w:style>
  <w:style w:type="paragraph" w:styleId="TM4">
    <w:name w:val="toc 4"/>
    <w:basedOn w:val="Normal"/>
    <w:next w:val="Normal"/>
    <w:autoRedefine w:val="1"/>
    <w:uiPriority w:val="39"/>
    <w:unhideWhenUsed w:val="1"/>
    <w:rsid w:val="00943326"/>
    <w:pPr>
      <w:ind w:left="600"/>
    </w:pPr>
  </w:style>
  <w:style w:type="paragraph" w:styleId="TM5">
    <w:name w:val="toc 5"/>
    <w:basedOn w:val="Normal"/>
    <w:next w:val="Normal"/>
    <w:autoRedefine w:val="1"/>
    <w:uiPriority w:val="39"/>
    <w:unhideWhenUsed w:val="1"/>
    <w:rsid w:val="00943326"/>
    <w:pPr>
      <w:ind w:left="800"/>
    </w:pPr>
  </w:style>
  <w:style w:type="paragraph" w:styleId="TM6">
    <w:name w:val="toc 6"/>
    <w:basedOn w:val="Normal"/>
    <w:next w:val="Normal"/>
    <w:autoRedefine w:val="1"/>
    <w:uiPriority w:val="39"/>
    <w:unhideWhenUsed w:val="1"/>
    <w:rsid w:val="00943326"/>
    <w:pPr>
      <w:ind w:left="1000"/>
    </w:pPr>
  </w:style>
  <w:style w:type="paragraph" w:styleId="TM7">
    <w:name w:val="toc 7"/>
    <w:basedOn w:val="Normal"/>
    <w:next w:val="Normal"/>
    <w:autoRedefine w:val="1"/>
    <w:uiPriority w:val="39"/>
    <w:unhideWhenUsed w:val="1"/>
    <w:rsid w:val="00943326"/>
    <w:pPr>
      <w:ind w:left="1200"/>
    </w:pPr>
  </w:style>
  <w:style w:type="paragraph" w:styleId="TM8">
    <w:name w:val="toc 8"/>
    <w:basedOn w:val="Normal"/>
    <w:next w:val="Normal"/>
    <w:autoRedefine w:val="1"/>
    <w:uiPriority w:val="39"/>
    <w:unhideWhenUsed w:val="1"/>
    <w:rsid w:val="00943326"/>
    <w:pPr>
      <w:ind w:left="1400"/>
    </w:pPr>
  </w:style>
  <w:style w:type="paragraph" w:styleId="TM9">
    <w:name w:val="toc 9"/>
    <w:basedOn w:val="Normal"/>
    <w:next w:val="Normal"/>
    <w:autoRedefine w:val="1"/>
    <w:uiPriority w:val="39"/>
    <w:unhideWhenUsed w:val="1"/>
    <w:rsid w:val="00943326"/>
    <w:pPr>
      <w:ind w:left="1600"/>
    </w:pPr>
  </w:style>
  <w:style w:type="paragraph" w:styleId="NormalWeb">
    <w:name w:val="Normal (Web)"/>
    <w:basedOn w:val="Normal"/>
    <w:uiPriority w:val="99"/>
    <w:unhideWhenUsed w:val="1"/>
    <w:rsid w:val="00573C01"/>
    <w:pPr>
      <w:spacing w:after="100" w:afterAutospacing="1" w:before="100" w:beforeAutospacing="1" w:line="240" w:lineRule="auto"/>
      <w:jc w:val="left"/>
    </w:pPr>
    <w:rPr>
      <w:rFonts w:ascii="Times New Roman" w:cs="Times New Roman" w:hAnsi="Times New Roman"/>
      <w:color w:val="auto"/>
      <w:sz w:val="24"/>
      <w:szCs w:val="24"/>
    </w:rPr>
  </w:style>
  <w:style w:type="character" w:styleId="Lienhypertexte">
    <w:name w:val="Hyperlink"/>
    <w:basedOn w:val="Policepardfaut"/>
    <w:uiPriority w:val="99"/>
    <w:unhideWhenUsed w:val="1"/>
    <w:rsid w:val="009303CA"/>
    <w:rPr>
      <w:color w:val="0000ff"/>
      <w:u w:val="single"/>
    </w:rPr>
  </w:style>
  <w:style w:type="character" w:styleId="Textedelespacerserv">
    <w:name w:val="Placeholder Text"/>
    <w:basedOn w:val="Policepardfaut"/>
    <w:uiPriority w:val="99"/>
    <w:unhideWhenUsed w:val="1"/>
    <w:rsid w:val="009303CA"/>
    <w:rPr>
      <w:color w:val="808080"/>
    </w:rPr>
  </w:style>
  <w:style w:type="character" w:styleId="lev">
    <w:name w:val="Strong"/>
    <w:basedOn w:val="Policepardfaut"/>
    <w:uiPriority w:val="22"/>
    <w:qFormat w:val="1"/>
    <w:rsid w:val="00550922"/>
    <w:rPr>
      <w:b w:val="1"/>
      <w:bCs w:val="1"/>
    </w:rPr>
  </w:style>
  <w:style w:type="character" w:styleId="Mentionnonrsolue1" w:customStyle="1">
    <w:name w:val="Mention non résolue1"/>
    <w:basedOn w:val="Policepardfaut"/>
    <w:uiPriority w:val="99"/>
    <w:semiHidden w:val="1"/>
    <w:unhideWhenUsed w:val="1"/>
    <w:rsid w:val="00EE3BF3"/>
    <w:rPr>
      <w:color w:val="605e5c"/>
      <w:shd w:color="auto" w:fill="e1dfdd" w:val="clear"/>
    </w:rPr>
  </w:style>
  <w:style w:type="paragraph" w:styleId="Paragraphedeliste">
    <w:name w:val="List Paragraph"/>
    <w:basedOn w:val="Normal"/>
    <w:uiPriority w:val="34"/>
    <w:qFormat w:val="1"/>
    <w:rsid w:val="002E76D3"/>
    <w:pPr>
      <w:ind w:left="720"/>
      <w:contextualSpacing w:val="1"/>
    </w:pPr>
  </w:style>
  <w:style w:type="character" w:styleId="link-wrapper" w:customStyle="1">
    <w:name w:val="link-wrapper"/>
    <w:basedOn w:val="Policepardfaut"/>
    <w:rsid w:val="00197EF0"/>
  </w:style>
  <w:style w:type="paragraph" w:styleId="zeta" w:customStyle="1">
    <w:name w:val="zeta"/>
    <w:basedOn w:val="Normal"/>
    <w:rsid w:val="00197EF0"/>
    <w:pPr>
      <w:spacing w:after="100" w:afterAutospacing="1" w:before="100" w:beforeAutospacing="1" w:line="240" w:lineRule="auto"/>
      <w:jc w:val="left"/>
    </w:pPr>
    <w:rPr>
      <w:rFonts w:ascii="Times New Roman" w:cs="Times New Roman" w:hAnsi="Times New Roman"/>
      <w:color w:val="auto"/>
      <w:sz w:val="24"/>
      <w:szCs w:val="24"/>
    </w:rPr>
  </w:style>
  <w:style w:type="character" w:styleId="Mentionnonrsolue2" w:customStyle="1">
    <w:name w:val="Mention non résolue2"/>
    <w:basedOn w:val="Policepardfaut"/>
    <w:uiPriority w:val="99"/>
    <w:semiHidden w:val="1"/>
    <w:unhideWhenUsed w:val="1"/>
    <w:rsid w:val="00955EA1"/>
    <w:rPr>
      <w:color w:val="605e5c"/>
      <w:shd w:color="auto" w:fill="e1dfdd" w:val="clear"/>
    </w:rPr>
  </w:style>
  <w:style w:type="character" w:styleId="Lienhypertextesuivivisit">
    <w:name w:val="FollowedHyperlink"/>
    <w:basedOn w:val="Policepardfaut"/>
    <w:uiPriority w:val="99"/>
    <w:semiHidden w:val="1"/>
    <w:unhideWhenUsed w:val="1"/>
    <w:rsid w:val="00234124"/>
    <w:rPr>
      <w:color w:val="800080" w:themeColor="followedHyperlink"/>
      <w:u w:val="single"/>
    </w:rPr>
  </w:style>
  <w:style w:type="paragraph" w:styleId="Rvision">
    <w:name w:val="Revision"/>
    <w:hidden w:val="1"/>
    <w:uiPriority w:val="71"/>
    <w:semiHidden w:val="1"/>
    <w:rsid w:val="00657CC4"/>
    <w:rPr>
      <w:rFonts w:ascii="Arial" w:cs="Arial" w:hAnsi="Arial"/>
      <w:color w:val="000000"/>
    </w:rPr>
  </w:style>
  <w:style w:type="paragraph" w:styleId="fic" w:customStyle="1">
    <w:name w:val="fic"/>
    <w:basedOn w:val="Normal"/>
    <w:link w:val="ficCar"/>
    <w:rsid w:val="00DE79F0"/>
    <w:pPr>
      <w:pBdr>
        <w:top w:color="auto" w:space="1" w:sz="12" w:val="single"/>
        <w:left w:color="auto" w:space="1" w:sz="12" w:val="single"/>
        <w:bottom w:color="auto" w:space="1" w:sz="12" w:val="single"/>
        <w:right w:color="auto" w:space="1" w:sz="12" w:val="single"/>
      </w:pBdr>
      <w:tabs>
        <w:tab w:val="left" w:pos="-1985"/>
      </w:tabs>
      <w:autoSpaceDE w:val="0"/>
      <w:autoSpaceDN w:val="0"/>
    </w:pPr>
    <w:rPr>
      <w:rFonts w:ascii="Times New Roman" w:cs="Times New Roman" w:hAnsi="Times New Roman"/>
      <w:b w:val="1"/>
      <w:bCs w:val="1"/>
      <w:caps w:val="1"/>
      <w:color w:val="auto"/>
      <w:sz w:val="28"/>
      <w:szCs w:val="28"/>
    </w:rPr>
  </w:style>
  <w:style w:type="character" w:styleId="ficCar" w:customStyle="1">
    <w:name w:val="fic Car"/>
    <w:link w:val="fic"/>
    <w:rsid w:val="00DE79F0"/>
    <w:rPr>
      <w:b w:val="1"/>
      <w:bCs w:val="1"/>
      <w:caps w:val="1"/>
      <w:sz w:val="28"/>
      <w:szCs w:val="28"/>
    </w:rPr>
  </w:style>
  <w:style w:type="character" w:styleId="Mentionnonrsolue">
    <w:name w:val="Unresolved Mention"/>
    <w:basedOn w:val="Policepardfaut"/>
    <w:uiPriority w:val="99"/>
    <w:semiHidden w:val="1"/>
    <w:unhideWhenUsed w:val="1"/>
    <w:rsid w:val="00165EC2"/>
    <w:rPr>
      <w:color w:val="605e5c"/>
      <w:shd w:color="auto" w:fill="e1dfdd" w:val="clear"/>
    </w:rPr>
  </w:style>
  <w:style w:type="paragraph" w:styleId="Subtitle">
    <w:name w:val="Subtitle"/>
    <w:basedOn w:val="Normal"/>
    <w:next w:val="Normal"/>
    <w:pPr>
      <w:jc w:val="center"/>
    </w:pPr>
    <w:rPr>
      <w:b w:val="1"/>
      <w:i w:val="1"/>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57.0" w:type="dxa"/>
        <w:left w:w="57.0" w:type="dxa"/>
        <w:bottom w:w="57.0" w:type="dxa"/>
        <w:right w:w="57.0" w:type="dxa"/>
      </w:tblCellMar>
    </w:tblPr>
  </w:style>
  <w:style w:type="table" w:styleId="Table3">
    <w:basedOn w:val="TableNormal"/>
    <w:tblPr>
      <w:tblStyleRowBandSize w:val="1"/>
      <w:tblStyleColBandSize w:val="1"/>
      <w:tblCellMar>
        <w:top w:w="57.0" w:type="dxa"/>
        <w:left w:w="57.0" w:type="dxa"/>
        <w:bottom w:w="57.0" w:type="dxa"/>
        <w:right w:w="57.0" w:type="dxa"/>
      </w:tblCellMar>
    </w:tblPr>
  </w:style>
  <w:style w:type="table" w:styleId="Table4">
    <w:basedOn w:val="TableNormal"/>
    <w:tblPr>
      <w:tblStyleRowBandSize w:val="1"/>
      <w:tblStyleColBandSize w:val="1"/>
      <w:tblCellMar>
        <w:top w:w="57.0" w:type="dxa"/>
        <w:left w:w="57.0" w:type="dxa"/>
        <w:bottom w:w="57.0" w:type="dxa"/>
        <w:right w:w="57.0" w:type="dxa"/>
      </w:tblCellMar>
    </w:tblPr>
  </w:style>
  <w:style w:type="table" w:styleId="Table5">
    <w:basedOn w:val="TableNormal"/>
    <w:tblPr>
      <w:tblStyleRowBandSize w:val="1"/>
      <w:tblStyleColBandSize w:val="1"/>
      <w:tblCellMar>
        <w:top w:w="57.0" w:type="dxa"/>
        <w:left w:w="57.0" w:type="dxa"/>
        <w:bottom w:w="57.0" w:type="dxa"/>
        <w:right w:w="57.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11" Type="http://schemas.openxmlformats.org/officeDocument/2006/relationships/header" Target="header1.xml"/><Relationship Id="rId10" Type="http://schemas.openxmlformats.org/officeDocument/2006/relationships/hyperlink" Target="https://youtu.be/pnuINVA4O40" TargetMode="External"/><Relationship Id="rId12" Type="http://schemas.openxmlformats.org/officeDocument/2006/relationships/footer" Target="footer1.xml"/><Relationship Id="rId9" Type="http://schemas.openxmlformats.org/officeDocument/2006/relationships/image" Target="media/image2.jpg"/><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Garamond-regular.ttf"/><Relationship Id="rId4" Type="http://schemas.openxmlformats.org/officeDocument/2006/relationships/font" Target="fonts/Garamond-bold.ttf"/><Relationship Id="rId11" Type="http://schemas.openxmlformats.org/officeDocument/2006/relationships/font" Target="fonts/Candara-boldItalic.ttf"/><Relationship Id="rId10" Type="http://schemas.openxmlformats.org/officeDocument/2006/relationships/font" Target="fonts/Candara-italic.ttf"/><Relationship Id="rId12" Type="http://schemas.openxmlformats.org/officeDocument/2006/relationships/font" Target="fonts/CambriaMath-regular.ttf"/><Relationship Id="rId9" Type="http://schemas.openxmlformats.org/officeDocument/2006/relationships/font" Target="fonts/Candara-bold.ttf"/><Relationship Id="rId5" Type="http://schemas.openxmlformats.org/officeDocument/2006/relationships/font" Target="fonts/Garamond-italic.ttf"/><Relationship Id="rId6" Type="http://schemas.openxmlformats.org/officeDocument/2006/relationships/font" Target="fonts/Garamond-boldItalic.ttf"/><Relationship Id="rId7" Type="http://schemas.openxmlformats.org/officeDocument/2006/relationships/font" Target="fonts/Pacifico-regular.ttf"/><Relationship Id="rId8" Type="http://schemas.openxmlformats.org/officeDocument/2006/relationships/font" Target="fonts/Candara-regular.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v8EebEgCzM5M/k8ytTqNF/j+EA==">AMUW2mX/GZ+tYsjCs6hgpT3zQ8G0w7d0Ye+I9XKsVsNzQwMDQ2NxyE6Ol0/t6xXJMoWn4d9puj6kuSeSeodr1v1TH/MDkEr2zXiTLHKSwebtCCo7d8RYb7gcJfZJzb+zOXTfMpIzhk0SFPmDOx5/R4n1z/e/wFnZEDEdKTDA0RYWDRJjlJWkET4MaitV9G1khnXnP7zKmozWKAj/bt6pySsuGa0s+tFSwstq0vUZPEgSG5SyPtt3egU=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2022-05-25T21:25:00Z</dcterms:created>
  <dc:creator>SIEC</dc:creator>
</cp:coreProperties>
</file>