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97155" cy="1315580"/>
                <wp:effectExtent b="0" l="0" r="0" 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206560" y="3131348"/>
                          <a:ext cx="6278880" cy="1297305"/>
                        </a:xfrm>
                        <a:prstGeom prst="rect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1131.9999694824219" w:right="1131.9999694824219" w:firstLine="1131.999969482421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BACCALAURÉAT GÉNÉRAL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64.0000057220459"/>
                              <w:ind w:left="1133.0000305175781" w:right="1131.9999694824219" w:firstLine="1133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Épreuve pratique de l’enseignement de spécialité physique-chimie Évaluation des Compétences Expérimentales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0" w:right="1131.9999694824219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Cette situation d’évaluation fait partie de la banque nationale.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97155" cy="1315580"/>
                <wp:effectExtent b="0" l="0" r="0" t="0"/>
                <wp:docPr id="4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155" cy="13155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6567030" cy="222745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071623" y="3677765"/>
                          <a:ext cx="6548755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3536.0000610351562" w:right="3522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ÉNONCÉ DESTINÉ AU CANDIDAT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6567030" cy="222745"/>
                <wp:effectExtent b="0" l="0" r="0" t="0"/>
                <wp:wrapTopAndBottom distB="0" distT="0"/>
                <wp:docPr id="4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7030" cy="22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8.0" w:type="dxa"/>
        <w:jc w:val="left"/>
        <w:tblInd w:w="10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5"/>
        <w:gridCol w:w="4933"/>
        <w:tblGridChange w:id="0">
          <w:tblGrid>
            <w:gridCol w:w="4945"/>
            <w:gridCol w:w="4933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: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Prénom :</w:t>
            </w:r>
          </w:p>
        </w:tc>
      </w:tr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Centre d’examen 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d’inscription 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271463</wp:posOffset>
                </wp:positionH>
                <wp:positionV relativeFrom="paragraph">
                  <wp:posOffset>20014</wp:posOffset>
                </wp:positionV>
                <wp:extent cx="7291388" cy="1550295"/>
                <wp:effectExtent b="0" l="0" r="0" t="0"/>
                <wp:wrapTopAndBottom distB="0" dist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206560" y="3115473"/>
                          <a:ext cx="6278880" cy="1329055"/>
                        </a:xfrm>
                        <a:prstGeom prst="rect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8.99999976158142" w:line="264.0000057220459"/>
                              <w:ind w:left="106.99999809265137" w:right="322.9999923706054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Cette situation d’évaluation comporte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cinq </w:t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pages sur lesquelles le candidat doit consigner ses réponses. Le candidat doit restituer ce document avant de sortir de la salle d'examen.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6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 candidat doit agir en autonomie et faire preuve d’initiative tout au long de l’épreuve.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2.000000476837158" w:line="266.00000381469727"/>
                              <w:ind w:left="106.99999809265137" w:right="322.9999923706054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 cas de difficulté, le candidat peut solliciter l’examinateur afin de lui permettre de continuer la tâche. L’examinateur peut intervenir à tout moment, s’il le juge utile.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6.00000381469727"/>
                              <w:ind w:left="106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L’usage de calculatrice avec mode examen actif est autorisé. L’usage de calculatrice sans mémoire « type collège » est autorisé.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271463</wp:posOffset>
                </wp:positionH>
                <wp:positionV relativeFrom="paragraph">
                  <wp:posOffset>20014</wp:posOffset>
                </wp:positionV>
                <wp:extent cx="7291388" cy="1550295"/>
                <wp:effectExtent b="0" l="0" r="0" t="0"/>
                <wp:wrapTopAndBottom distB="0" distT="0"/>
                <wp:docPr id="4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1388" cy="1550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92" w:lineRule="auto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CONTEXTE DE LA SITUATION D’ÉVALUATION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64" w:lineRule="auto"/>
        <w:ind w:left="852" w:right="84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L’aquaculture ou pisciculture, activité qui consiste à élever des poissons dans des bassins, pose un problème environnemental. En effet, l’eau est polluée par les déjections des poissons et celles-ci contiennent de l’ammoniac NH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Ainsi, la teneur en ammoniac doit être suivie de façon constante. Pour ce faire, il est possible de réaliser un titrage en présence d’un indicateur coloré.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64" w:lineRule="auto"/>
        <w:ind w:left="852" w:right="847" w:firstLine="0"/>
        <w:jc w:val="both"/>
        <w:rPr>
          <w:rFonts w:ascii="Arial" w:cs="Arial" w:eastAsia="Arial" w:hAnsi="Arial"/>
          <w:b w:val="1"/>
          <w:i w:val="1"/>
          <w:sz w:val="24"/>
          <w:szCs w:val="24"/>
        </w:rPr>
        <w:sectPr>
          <w:headerReference r:id="rId10" w:type="default"/>
          <w:footerReference r:id="rId11" w:type="default"/>
          <w:pgSz w:h="16840" w:w="11910" w:orient="portrait"/>
          <w:pgMar w:bottom="760" w:top="1560" w:left="0" w:right="0" w:header="860" w:footer="571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Le but de cette épreuve est de déterminer quel indicateur coloré peut convenir lors du titrage d’une solution d’ammoniaque par une solution d’acide fort.</w:t>
      </w:r>
    </w:p>
    <w:p w:rsidR="00000000" w:rsidDel="00000000" w:rsidP="00000000" w:rsidRDefault="00000000" w:rsidRPr="00000000" w14:paraId="00000013">
      <w:pPr>
        <w:pStyle w:val="Heading1"/>
        <w:spacing w:before="83" w:lineRule="auto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INFORMATIONS MISES À DISPOSITION DU CANDIDAT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93" w:lineRule="auto"/>
        <w:ind w:left="85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Indicateur coloré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64" w:lineRule="auto"/>
        <w:ind w:left="852" w:right="85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indicateur coloré acido-basique est un couple acide / base pour lequel la forme acide et la forme basique ont des teintes différentes en solution. Dans certains cas, on peut utiliser un indicateur coloré pour repérer l’équivalence d’un titrage.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L’indicateur coloré doit être judicieusement choisi, selon le titrage réalisé, afin de repérer correctement l’équivalence.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Diagramme de distribution d’un indicateur coloré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64" w:lineRule="auto"/>
        <w:ind w:left="852" w:right="84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diagramme de distribution d’un indicateur coloré représente l’évolution du pourcentage de sa forme acide notée HInd et celle du pourcentage de sa forme basique notée 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–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fonction du pH de la solution dans laquelle il est dissous. Par exemple, pour 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bleu de bromothymol (BBT)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on obtient le diagramme de distribution suivant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1902456</wp:posOffset>
            </wp:positionH>
            <wp:positionV relativeFrom="paragraph">
              <wp:posOffset>99257</wp:posOffset>
            </wp:positionV>
            <wp:extent cx="3718844" cy="1925669"/>
            <wp:effectExtent b="0" l="0" r="0" t="0"/>
            <wp:wrapTopAndBottom distB="0" distT="0"/>
            <wp:docPr id="5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8844" cy="1925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64" w:lineRule="auto"/>
        <w:ind w:left="852" w:right="84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zone de virage est la plage de pH pour laquelle aucune des formes acide et basique n’est suffisamment majoritaire, ce qui se traduit par une superposition de leurs teintes.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194" w:lineRule="auto"/>
        <w:ind w:left="85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s’agit de l’ensemble des valeurs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pour lesquelles : 0,10 &lt;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%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&lt; 10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762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00585" y="3776190"/>
                          <a:ext cx="290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7620" cy="12700"/>
                <wp:effectExtent b="0" l="0" r="0" t="0"/>
                <wp:wrapNone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-25399</wp:posOffset>
                </wp:positionV>
                <wp:extent cx="34925" cy="952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33300" y="3737138"/>
                          <a:ext cx="2540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-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-25399</wp:posOffset>
                </wp:positionV>
                <wp:extent cx="34925" cy="95250"/>
                <wp:effectExtent b="0" l="0" r="0" t="0"/>
                <wp:wrapNone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125" w:lineRule="auto"/>
        <w:ind w:left="1919" w:right="133" w:firstLine="0"/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% HInd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Spectres d’absorption des formes acide et basique du vert de bromocrésol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1513548</wp:posOffset>
            </wp:positionH>
            <wp:positionV relativeFrom="paragraph">
              <wp:posOffset>153070</wp:posOffset>
            </wp:positionV>
            <wp:extent cx="4516412" cy="2397918"/>
            <wp:effectExtent b="0" l="0" r="0" t="0"/>
            <wp:wrapTopAndBottom distB="0" distT="0"/>
            <wp:docPr id="5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6412" cy="2397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64" w:lineRule="auto"/>
        <w:ind w:left="1560" w:right="523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00" w:top="1560" w:left="0" w:right="0" w:header="860" w:footer="57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HInd : notation de la forme acide du vert de bromocrésol 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notation de la forme basique du vert de bromocrésol</w:t>
      </w:r>
    </w:p>
    <w:p w:rsidR="00000000" w:rsidDel="00000000" w:rsidP="00000000" w:rsidRDefault="00000000" w:rsidRPr="00000000" w14:paraId="00000028">
      <w:pPr>
        <w:pStyle w:val="Heading1"/>
        <w:spacing w:before="83" w:lineRule="auto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Préparation de solutions de vert de bromocrésol à différents 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Pour préparer des solutions 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vert de bromocrésol à différents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on peut utiliser le protocole suivant 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9"/>
          <w:tab w:val="left" w:pos="1280"/>
        </w:tabs>
        <w:spacing w:after="0" w:before="124" w:line="240" w:lineRule="auto"/>
        <w:ind w:left="1279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Prélever 20,0 mL de solution de Britton-Robinson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(*)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l’aide d’une pipette jaugée et les verser dans un bécher.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9"/>
          <w:tab w:val="left" w:pos="1280"/>
        </w:tabs>
        <w:spacing w:after="0" w:before="21" w:line="242" w:lineRule="auto"/>
        <w:ind w:left="1279" w:right="843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Ajouter un volume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solution d’hydroxyde de sodium de concentration 1,00×10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mol·L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 l’aide d’une pipette jaugée.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9"/>
          <w:tab w:val="left" w:pos="1280"/>
        </w:tabs>
        <w:spacing w:after="0" w:before="23" w:line="240" w:lineRule="auto"/>
        <w:ind w:left="1279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Agiter.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9"/>
          <w:tab w:val="left" w:pos="1280"/>
        </w:tabs>
        <w:spacing w:after="0" w:before="21" w:line="240" w:lineRule="auto"/>
        <w:ind w:left="1279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Prélever 20,0 mL du mélange précédent et le verser dans un nouveau bécher.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9"/>
          <w:tab w:val="left" w:pos="1280"/>
        </w:tabs>
        <w:spacing w:after="0" w:before="22" w:line="240" w:lineRule="auto"/>
        <w:ind w:left="1279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Ajouter 2,0 mL de solution de vert de bromocrésol.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9"/>
          <w:tab w:val="left" w:pos="1280"/>
        </w:tabs>
        <w:spacing w:after="0" w:before="21" w:line="240" w:lineRule="auto"/>
        <w:ind w:left="1279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Agiter.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5.0" w:type="dxa"/>
        <w:jc w:val="left"/>
        <w:tblInd w:w="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4"/>
        <w:gridCol w:w="660"/>
        <w:gridCol w:w="658"/>
        <w:gridCol w:w="660"/>
        <w:gridCol w:w="658"/>
        <w:gridCol w:w="660"/>
        <w:gridCol w:w="660"/>
        <w:gridCol w:w="658"/>
        <w:gridCol w:w="661"/>
        <w:gridCol w:w="658"/>
        <w:gridCol w:w="660"/>
        <w:gridCol w:w="658"/>
        <w:tblGridChange w:id="0">
          <w:tblGrid>
            <w:gridCol w:w="3584"/>
            <w:gridCol w:w="660"/>
            <w:gridCol w:w="658"/>
            <w:gridCol w:w="660"/>
            <w:gridCol w:w="658"/>
            <w:gridCol w:w="660"/>
            <w:gridCol w:w="660"/>
            <w:gridCol w:w="658"/>
            <w:gridCol w:w="661"/>
            <w:gridCol w:w="658"/>
            <w:gridCol w:w="660"/>
            <w:gridCol w:w="658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59" w:right="1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Solution 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40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189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42" w:right="136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9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42" w:right="136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40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51" w:right="14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9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64" w:right="109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42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5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64" w:lineRule="auto"/>
              <w:ind w:left="578" w:right="124" w:hanging="44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solution d’hydroxyde de sodium ajouté (en mL)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42" w:right="13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0" w:right="18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42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8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42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3,5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38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48" w:right="14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8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47" w:right="14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39" w:right="13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6,5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8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8,0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64" w:lineRule="auto"/>
        <w:ind w:left="852" w:right="7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La solution de Britton-Robinson est une solution qui a la particularité d’avoir un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 varie linéairement en fonction du volume de solution d’hydroxyde de sodium qu’on y ajoute.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line="264" w:lineRule="auto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Pourcentages de la forme acide et de la forme basique dans une solution de vert de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bromocrésol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66" w:lineRule="auto"/>
        <w:ind w:left="852" w:right="7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appelle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l’absorbance de la solution mesurée en utilisant une longueur d’onde λ où seule la forme basique 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absorbe.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pourcentage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 Ind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–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forme basique dans la solution peut être relié à l’absorbance par la relation 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79"/>
        </w:tabs>
        <w:spacing w:after="0" w:before="11" w:line="333" w:lineRule="auto"/>
        <w:ind w:left="0" w:right="133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= 100 ×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165100</wp:posOffset>
                </wp:positionV>
                <wp:extent cx="762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17095" y="3776190"/>
                          <a:ext cx="2578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165100</wp:posOffset>
                </wp:positionV>
                <wp:extent cx="7620" cy="12700"/>
                <wp:effectExtent b="0" l="0" r="0" t="0"/>
                <wp:wrapNone/>
                <wp:docPr id="4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line="207" w:lineRule="auto"/>
        <w:ind w:left="1570" w:right="133" w:firstLine="0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max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pourcentage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 HInd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forme acide dans la solution peut être relié à l’absorbance par la relation :</w:t>
      </w:r>
    </w:p>
    <w:p w:rsidR="00000000" w:rsidDel="00000000" w:rsidP="00000000" w:rsidRDefault="00000000" w:rsidRPr="00000000" w14:paraId="00000052">
      <w:pPr>
        <w:spacing w:before="6" w:line="161" w:lineRule="auto"/>
        <w:ind w:left="1563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1"/>
        </w:tabs>
        <w:spacing w:after="0" w:before="0" w:line="223" w:lineRule="auto"/>
        <w:ind w:left="3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%HInd = 100 × (1-</w:t>
        <w:tab/>
        <w:t xml:space="preserve">)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63500</wp:posOffset>
                </wp:positionV>
                <wp:extent cx="762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17095" y="3776190"/>
                          <a:ext cx="2578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63500</wp:posOffset>
                </wp:positionV>
                <wp:extent cx="7620" cy="12700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76200</wp:posOffset>
                </wp:positionV>
                <wp:extent cx="93980" cy="15113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303773" y="3709198"/>
                          <a:ext cx="84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22.999987602233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76200</wp:posOffset>
                </wp:positionV>
                <wp:extent cx="93980" cy="151130"/>
                <wp:effectExtent b="0" l="0" r="0" t="0"/>
                <wp:wrapNone/>
                <wp:docPr id="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before="1" w:lineRule="auto"/>
        <w:ind w:left="1822" w:right="133" w:firstLine="0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max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est l’absorbance, à la même longueur d’onde λ, d’une solution dans laquelle le vert de bromocrésol existe uniquement sous sa forme basique 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–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(C’est le cas de la solution 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Titrage pH-métrique d’une solution d’ammoniaque par une solution d’acide 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obtient par simulation la courbe de titrage d’une solution ammoniac par une solution d’acide chlorhydrique 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266700</wp:posOffset>
                </wp:positionV>
                <wp:extent cx="5156200" cy="21463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67900" y="2706850"/>
                          <a:ext cx="5156200" cy="2146300"/>
                          <a:chOff x="2767900" y="2706850"/>
                          <a:chExt cx="5156200" cy="2146300"/>
                        </a:xfrm>
                      </wpg:grpSpPr>
                      <wpg:grpSp>
                        <wpg:cNvGrpSpPr/>
                        <wpg:grpSpPr>
                          <a:xfrm>
                            <a:off x="2767900" y="2706850"/>
                            <a:ext cx="5156200" cy="2146300"/>
                            <a:chOff x="1026" y="430"/>
                            <a:chExt cx="8120" cy="33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26" y="430"/>
                              <a:ext cx="8100" cy="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760" y="430"/>
                              <a:ext cx="6386" cy="3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26" y="536"/>
                              <a:ext cx="7921" cy="3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266700</wp:posOffset>
                </wp:positionV>
                <wp:extent cx="5156200" cy="2146300"/>
                <wp:effectExtent b="0" l="0" r="0" t="0"/>
                <wp:wrapTopAndBottom distB="0" distT="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6200" cy="214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before="7" w:lineRule="auto"/>
        <w:ind w:left="852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Titrage de 10,0 mL de solution d’ammoniaque de concentration 0,10 mol·L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superscript"/>
          <w:rtl w:val="0"/>
        </w:rPr>
        <w:t xml:space="preserve">–1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par une solution d’acide chlorhydrique de concentration 0,10 mol·L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superscript"/>
          <w:rtl w:val="0"/>
        </w:rPr>
        <w:t xml:space="preserve">–1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852" w:right="7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Remarque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Une solution d’ammoniaque est une solution aqueuse d’ammoniac NH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intervenant dans le couple acide faible-base faible NH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NH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Données utiles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760" w:top="1560" w:left="0" w:right="0" w:header="860" w:footer="57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L’hélianthine est un indicateur coloré. À 25 °C, la valeur de son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 3,4.</w:t>
      </w:r>
    </w:p>
    <w:p w:rsidR="00000000" w:rsidDel="00000000" w:rsidP="00000000" w:rsidRDefault="00000000" w:rsidRPr="00000000" w14:paraId="0000005F">
      <w:pPr>
        <w:pStyle w:val="Heading1"/>
        <w:spacing w:before="83" w:lineRule="auto"/>
        <w:ind w:firstLine="85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TRAVAIL À EFFECTUER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2"/>
        </w:tabs>
        <w:spacing w:after="0" w:before="93" w:line="240" w:lineRule="auto"/>
        <w:ind w:left="121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Étude d’une solution de vert de bromocrésol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 minutes conseillées)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852" w:right="3533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l’aide du matériel mis à disposition, préparer la solution 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vert de bromocrésol. On souhaite mesurer l’absorbance de la solution 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Quelle longueur d’onde peut-on choisir pour que seule la forme basique Ind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–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absorbe ?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6527800" cy="334645"/>
                <wp:effectExtent b="0" l="0" r="0" t="0"/>
                <wp:wrapTopAndBottom distB="0" distT="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086863" y="3617440"/>
                          <a:ext cx="6518275" cy="325120"/>
                        </a:xfrm>
                        <a:prstGeom prst="rect">
                          <a:avLst/>
                        </a:prstGeom>
                        <a:solidFill>
                          <a:srgbClr val="EDE6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6.00000381469727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D’après le spectre fourni, on peut choisir une longueur d’onde de </w:t>
                            </w:r>
                            <w:r w:rsidDel="00000000" w:rsidR="00000000" w:rsidRPr="00000000"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𝝀 = 𝟔𝟐𝟎 𝒏𝒎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 En effet c’est à cette longueur d’onde que l’absorption de la forme basique du vert de bromocrésol est maximale.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6527800" cy="334645"/>
                <wp:effectExtent b="0" l="0" r="0" t="0"/>
                <wp:wrapTopAndBottom distB="0" distT="0"/>
                <wp:docPr id="4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0" cy="33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15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416"/>
        <w:gridCol w:w="6805"/>
        <w:gridCol w:w="1418"/>
        <w:tblGridChange w:id="0">
          <w:tblGrid>
            <w:gridCol w:w="1416"/>
            <w:gridCol w:w="6805"/>
            <w:gridCol w:w="1418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281" w:right="42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APPEL n°1</w:t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77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64" w:lineRule="auto"/>
              <w:ind w:left="2367" w:right="655" w:hanging="16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Appeler le professeur pour lui présenter la valeur choisie ou en cas de difficulté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🖐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Faire le blanc avec de la solution de Britton-Robinson.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Mesurer l’absorbance et 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solution 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vert de bromocrésol.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Attention !: ne pas oublier de calibrer avec eau distillée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https://www.youtube.com/watch?v=se-Dq8aF0x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Pour pH : avec un pH mètre, mais pas sure si c expérimental ou par calcul qu’il faut trv.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2"/>
        </w:tabs>
        <w:spacing w:after="0" w:before="0" w:line="240" w:lineRule="auto"/>
        <w:ind w:left="1212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Diagramme de distribution du vert de bromocrésol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 minutes conseillées)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Dans le tableau ci-dessous, ajouter les valeurs d’absorbance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solution 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vert de bromocrésol.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Toutes les valeurs sont données sauf S8 qu’on devra mesurer.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l’aide d’un logiciel tableur-grapheur, tracer le diagramme de distribution du vert de bromocrésol.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85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 doit ressembler à ça 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7"/>
        </w:tabs>
        <w:spacing w:after="0" w:before="0" w:line="240" w:lineRule="auto"/>
        <w:ind w:left="85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00" w:top="1560" w:left="0" w:right="0" w:header="860" w:footer="571"/>
        </w:sectPr>
      </w:pPr>
      <w:r w:rsidDel="00000000" w:rsidR="00000000" w:rsidRPr="00000000">
        <w:rPr>
          <w:sz w:val="21"/>
          <w:szCs w:val="2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1068705</wp:posOffset>
                </wp:positionH>
                <wp:positionV relativeFrom="page">
                  <wp:posOffset>7413625</wp:posOffset>
                </wp:positionV>
                <wp:extent cx="4842510" cy="2141855"/>
                <wp:effectExtent b="0" l="0" r="0" t="0"/>
                <wp:wrapNone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24745" y="2708438"/>
                          <a:ext cx="4842510" cy="2141855"/>
                          <a:chOff x="2924745" y="2708438"/>
                          <a:chExt cx="4842510" cy="2141855"/>
                        </a:xfrm>
                      </wpg:grpSpPr>
                      <wpg:grpSp>
                        <wpg:cNvGrpSpPr/>
                        <wpg:grpSpPr>
                          <a:xfrm>
                            <a:off x="2924745" y="2708438"/>
                            <a:ext cx="4842510" cy="2141855"/>
                            <a:chOff x="823" y="12839"/>
                            <a:chExt cx="7626" cy="33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23" y="12840"/>
                              <a:ext cx="7625" cy="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23" y="12839"/>
                              <a:ext cx="4806" cy="3373"/>
                            </a:xfrm>
                            <a:custGeom>
                              <a:rect b="b" l="l" r="r" t="t"/>
                              <a:pathLst>
                                <a:path extrusionOk="0" h="3373" w="4806">
                                  <a:moveTo>
                                    <a:pt x="4806" y="3120"/>
                                  </a:moveTo>
                                  <a:lnTo>
                                    <a:pt x="2506" y="3120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0"/>
                                  </a:lnTo>
                                  <a:lnTo>
                                    <a:pt x="0" y="3372"/>
                                  </a:lnTo>
                                  <a:lnTo>
                                    <a:pt x="4806" y="3372"/>
                                  </a:lnTo>
                                  <a:lnTo>
                                    <a:pt x="4806" y="3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6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2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371" y="12851"/>
                              <a:ext cx="5078" cy="30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1068705</wp:posOffset>
                </wp:positionH>
                <wp:positionV relativeFrom="page">
                  <wp:posOffset>7413625</wp:posOffset>
                </wp:positionV>
                <wp:extent cx="4842510" cy="2141855"/>
                <wp:effectExtent b="0" l="0" r="0" t="0"/>
                <wp:wrapNone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2510" cy="2141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15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416"/>
        <w:gridCol w:w="6805"/>
        <w:gridCol w:w="1418"/>
        <w:tblGridChange w:id="0">
          <w:tblGrid>
            <w:gridCol w:w="1416"/>
            <w:gridCol w:w="6805"/>
            <w:gridCol w:w="141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4281" w:right="42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APPEL n°2</w:t>
            </w:r>
          </w:p>
        </w:tc>
      </w:tr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77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64" w:lineRule="auto"/>
              <w:ind w:left="2367" w:right="71" w:hanging="225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Appeler le professeur pour lui présenter le diagramme de distribution ou en cas de difficulté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9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🖐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2"/>
        </w:tabs>
        <w:spacing w:after="0" w:before="93" w:line="240" w:lineRule="auto"/>
        <w:ind w:left="121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Choix de l’indicateur coloré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 minutes conseillées)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852" w:right="7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souhaite faire le titrage colorimétrique d’une solution d’ammoniaque de concentration voisine de 0,10 mol·L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–1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 une solution d’acide chlorhydrique de concentration 0,10 mol·L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852" w:right="7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Trois indicateurs colorés sont mis à disposition : l’hélianthine, le vert de bromocrésol et le bleu de bromothymol. Il s’agit maintenant de déterminer lequel de ces indicateurs colorés peut convenir pour le titrage de l’ammoniaque.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4"/>
        </w:tabs>
        <w:spacing w:after="0" w:before="0" w:line="240" w:lineRule="auto"/>
        <w:ind w:left="1183" w:right="0" w:hanging="332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Dans le programme Python fourni, quelle la fonction de la ligne 4 du programme Python ?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152400</wp:posOffset>
                </wp:positionV>
                <wp:extent cx="6527800" cy="601345"/>
                <wp:effectExtent b="0" l="0" r="0" t="0"/>
                <wp:wrapTopAndBottom distB="0" distT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086863" y="3484090"/>
                          <a:ext cx="6518275" cy="591820"/>
                        </a:xfrm>
                        <a:prstGeom prst="rect">
                          <a:avLst/>
                        </a:prstGeom>
                        <a:solidFill>
                          <a:srgbClr val="EDE6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Elle permet d’entrer la valeur du pKa quand l’algorithme tourne. Cette valeur est ensuite transformée en flottant (nombre réel).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152400</wp:posOffset>
                </wp:positionV>
                <wp:extent cx="6527800" cy="601345"/>
                <wp:effectExtent b="0" l="0" r="0" t="0"/>
                <wp:wrapTopAndBottom distB="0" distT="0"/>
                <wp:docPr id="4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0" cy="601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4"/>
        </w:tabs>
        <w:spacing w:after="0" w:before="93" w:line="240" w:lineRule="auto"/>
        <w:ind w:left="1183" w:right="0" w:hanging="332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Compléter les lignes 10 et 11 du programme à l’aide des commentaires.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215900</wp:posOffset>
                </wp:positionV>
                <wp:extent cx="6518275" cy="84963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6863" y="3354550"/>
                          <a:ext cx="6518275" cy="849630"/>
                          <a:chOff x="2086863" y="3354550"/>
                          <a:chExt cx="6518275" cy="849630"/>
                        </a:xfrm>
                      </wpg:grpSpPr>
                      <wpg:grpSp>
                        <wpg:cNvGrpSpPr/>
                        <wpg:grpSpPr>
                          <a:xfrm>
                            <a:off x="2086863" y="3354550"/>
                            <a:ext cx="6518275" cy="849630"/>
                            <a:chOff x="823" y="347"/>
                            <a:chExt cx="10265" cy="13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23" y="348"/>
                              <a:ext cx="10250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823" y="347"/>
                              <a:ext cx="10265" cy="1338"/>
                            </a:xfrm>
                            <a:custGeom>
                              <a:rect b="b" l="l" r="r" t="t"/>
                              <a:pathLst>
                                <a:path extrusionOk="0" h="1338" w="10265">
                                  <a:moveTo>
                                    <a:pt x="102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1085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10265" y="1337"/>
                                  </a:lnTo>
                                  <a:lnTo>
                                    <a:pt x="10265" y="1085"/>
                                  </a:lnTo>
                                  <a:lnTo>
                                    <a:pt x="10265" y="252"/>
                                  </a:lnTo>
                                  <a:lnTo>
                                    <a:pt x="10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6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09" y="598"/>
                              <a:ext cx="7538" cy="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215900</wp:posOffset>
                </wp:positionV>
                <wp:extent cx="6518275" cy="849630"/>
                <wp:effectExtent b="0" l="0" r="0" t="0"/>
                <wp:wrapTopAndBottom distB="0" distT="0"/>
                <wp:docPr id="4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8275" cy="84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15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416"/>
        <w:gridCol w:w="6805"/>
        <w:gridCol w:w="1418"/>
        <w:tblGridChange w:id="0">
          <w:tblGrid>
            <w:gridCol w:w="1416"/>
            <w:gridCol w:w="6805"/>
            <w:gridCol w:w="141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281" w:right="42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APPEL n°3</w:t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77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66" w:lineRule="auto"/>
              <w:ind w:left="2367" w:right="386" w:hanging="191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Appeler le professeur pour lui présenter les lignes complétées ou en cas de difficulté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9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🖐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61" w:lineRule="auto"/>
        <w:ind w:left="852" w:right="70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Exécuter le programme Python afin d’afficher le diagramme de distribution de l’hélianthine. La concentration globale de l’hélianthine est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= 2,1×10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–5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mol·L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00" w:top="1560" w:left="0" w:right="0" w:header="860" w:footer="57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518275" cy="2374900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6863" y="2592550"/>
                          <a:ext cx="6518275" cy="2374900"/>
                          <a:chOff x="2086863" y="2592550"/>
                          <a:chExt cx="6518275" cy="2374900"/>
                        </a:xfrm>
                      </wpg:grpSpPr>
                      <wpg:grpSp>
                        <wpg:cNvGrpSpPr/>
                        <wpg:grpSpPr>
                          <a:xfrm>
                            <a:off x="2086863" y="2592550"/>
                            <a:ext cx="6518275" cy="2374900"/>
                            <a:chOff x="0" y="0"/>
                            <a:chExt cx="10265" cy="37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50" cy="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265" cy="3740"/>
                            </a:xfrm>
                            <a:custGeom>
                              <a:rect b="b" l="l" r="r" t="t"/>
                              <a:pathLst>
                                <a:path extrusionOk="0" h="3740" w="10265">
                                  <a:moveTo>
                                    <a:pt x="10264" y="3485"/>
                                  </a:moveTo>
                                  <a:lnTo>
                                    <a:pt x="0" y="3485"/>
                                  </a:lnTo>
                                  <a:lnTo>
                                    <a:pt x="0" y="3740"/>
                                  </a:lnTo>
                                  <a:lnTo>
                                    <a:pt x="10264" y="3740"/>
                                  </a:lnTo>
                                  <a:lnTo>
                                    <a:pt x="10264" y="3485"/>
                                  </a:lnTo>
                                  <a:close/>
                                  <a:moveTo>
                                    <a:pt x="102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3485"/>
                                  </a:lnTo>
                                  <a:lnTo>
                                    <a:pt x="10264" y="3485"/>
                                  </a:lnTo>
                                  <a:lnTo>
                                    <a:pt x="10264" y="252"/>
                                  </a:lnTo>
                                  <a:lnTo>
                                    <a:pt x="10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6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87" y="250"/>
                              <a:ext cx="4484" cy="3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18275" cy="2374900"/>
                <wp:effectExtent b="0" l="0" r="0" t="0"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8275" cy="2374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2"/>
        </w:tabs>
        <w:spacing w:after="0" w:before="82" w:line="264" w:lineRule="auto"/>
        <w:ind w:left="1212" w:right="845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Conclure sur l’indicateur coloré qu’il faudrait choisir pour repérer l’équivalence d’un titrage colorimétrique de la solution d’ammoniaque par la solution d’acide chlorhydrique.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6518275" cy="163068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6863" y="2964025"/>
                          <a:ext cx="6518275" cy="1630680"/>
                          <a:chOff x="2086863" y="2964025"/>
                          <a:chExt cx="6518275" cy="1630680"/>
                        </a:xfrm>
                      </wpg:grpSpPr>
                      <wpg:grpSp>
                        <wpg:cNvGrpSpPr/>
                        <wpg:grpSpPr>
                          <a:xfrm>
                            <a:off x="2086863" y="2964025"/>
                            <a:ext cx="6518275" cy="1630680"/>
                            <a:chOff x="823" y="241"/>
                            <a:chExt cx="10265" cy="25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23" y="242"/>
                              <a:ext cx="10250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23" y="241"/>
                              <a:ext cx="10265" cy="2568"/>
                            </a:xfrm>
                            <a:custGeom>
                              <a:rect b="b" l="l" r="r" t="t"/>
                              <a:pathLst>
                                <a:path extrusionOk="0" h="2568" w="10265">
                                  <a:moveTo>
                                    <a:pt x="10265" y="1639"/>
                                  </a:moveTo>
                                  <a:lnTo>
                                    <a:pt x="10236" y="1639"/>
                                  </a:lnTo>
                                  <a:lnTo>
                                    <a:pt x="10236" y="2109"/>
                                  </a:lnTo>
                                  <a:lnTo>
                                    <a:pt x="10236" y="2340"/>
                                  </a:lnTo>
                                  <a:lnTo>
                                    <a:pt x="8429" y="2340"/>
                                  </a:lnTo>
                                  <a:lnTo>
                                    <a:pt x="8429" y="2109"/>
                                  </a:lnTo>
                                  <a:lnTo>
                                    <a:pt x="10236" y="2109"/>
                                  </a:lnTo>
                                  <a:lnTo>
                                    <a:pt x="10236" y="1639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0" y="2109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0" y="2568"/>
                                  </a:lnTo>
                                  <a:lnTo>
                                    <a:pt x="29" y="2568"/>
                                  </a:lnTo>
                                  <a:lnTo>
                                    <a:pt x="29" y="2340"/>
                                  </a:lnTo>
                                  <a:lnTo>
                                    <a:pt x="2007" y="2340"/>
                                  </a:lnTo>
                                  <a:lnTo>
                                    <a:pt x="2007" y="2568"/>
                                  </a:lnTo>
                                  <a:lnTo>
                                    <a:pt x="10265" y="2568"/>
                                  </a:lnTo>
                                  <a:lnTo>
                                    <a:pt x="10265" y="2340"/>
                                  </a:lnTo>
                                  <a:lnTo>
                                    <a:pt x="10265" y="2109"/>
                                  </a:lnTo>
                                  <a:lnTo>
                                    <a:pt x="10265" y="1639"/>
                                  </a:lnTo>
                                  <a:close/>
                                  <a:moveTo>
                                    <a:pt x="102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698"/>
                                  </a:lnTo>
                                  <a:lnTo>
                                    <a:pt x="0" y="1168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10265" y="1639"/>
                                  </a:lnTo>
                                  <a:lnTo>
                                    <a:pt x="10265" y="1168"/>
                                  </a:lnTo>
                                  <a:lnTo>
                                    <a:pt x="10265" y="698"/>
                                  </a:lnTo>
                                  <a:lnTo>
                                    <a:pt x="10265" y="230"/>
                                  </a:lnTo>
                                  <a:lnTo>
                                    <a:pt x="10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6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37" y="241"/>
                              <a:ext cx="10236" cy="2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30.00000953674316"/>
                                  <w:ind w:left="13.999999761581421" w:right="0" w:firstLine="13.99999976158142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Graphiquement, on voit que 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0000001192092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3.0000114440918" w:right="0" w:firstLine="13.00001502037048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Pour le BBT : zone de virage = 6-7,6 et pKa = 7,2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3.0000114440918" w:right="0" w:firstLine="13.00001502037048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Pour le VDB : zone de virage = 4-6,2 et pKa = 4,7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13.0000114440918" w:right="0" w:firstLine="13.00001502037048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Pour l’hélianthine : zone de virage = 3 – 4,6 et pKa = 3,5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3.999999761581421" w:right="12.000000476837158" w:firstLine="13.99999976158142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Or d’après la courbe du titrage ph-métrique fournit, on voit que le pH à l’équivalence est de 5,25. Comme la zone de virage de l’indicateur coloré doit contenir le pH à l’équivalence, on en conclut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highlight w:val="yellow"/>
                                    <w:vertAlign w:val="baseline"/>
                                  </w:rPr>
                                  <w:t xml:space="preserve">qu’il faut choisir le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highlight w:val="yellow"/>
                                    <w:vertAlign w:val="baseline"/>
                                  </w:rPr>
                                  <w:t xml:space="preserve">vert de bromocrésol.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6518275" cy="1630680"/>
                <wp:effectExtent b="0" l="0" r="0" t="0"/>
                <wp:wrapTopAndBottom distB="0" distT="0"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8275" cy="163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spacing w:before="93" w:lineRule="auto"/>
        <w:ind w:left="852" w:firstLine="0"/>
        <w:rPr/>
      </w:pPr>
      <w:r w:rsidDel="00000000" w:rsidR="00000000" w:rsidRPr="00000000">
        <w:rPr>
          <w:rtl w:val="0"/>
        </w:rPr>
        <w:t xml:space="preserve">Défaire le montage et ranger la paillasse avant de quitter la salle.</w:t>
      </w:r>
    </w:p>
    <w:sectPr>
      <w:type w:val="nextPage"/>
      <w:pgSz w:h="16840" w:w="11910" w:orient="portrait"/>
      <w:pgMar w:bottom="800" w:top="1560" w:left="0" w:right="0" w:header="860" w:footer="57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  <w:font w:name="Wingding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10147300</wp:posOffset>
              </wp:positionV>
              <wp:extent cx="793115" cy="17653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4954205" y="3696498"/>
                        <a:ext cx="7835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PAGE 3 sur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10147300</wp:posOffset>
              </wp:positionV>
              <wp:extent cx="793115" cy="176530"/>
              <wp:effectExtent b="0" l="0" r="0" t="0"/>
              <wp:wrapNone/>
              <wp:docPr id="47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3115" cy="176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2913698</wp:posOffset>
              </wp:positionH>
              <wp:positionV relativeFrom="page">
                <wp:posOffset>528638</wp:posOffset>
              </wp:positionV>
              <wp:extent cx="1737995" cy="20574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481765" y="3681893"/>
                        <a:ext cx="1728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VERT, JAUNE ET BLEU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2913698</wp:posOffset>
              </wp:positionH>
              <wp:positionV relativeFrom="page">
                <wp:posOffset>528638</wp:posOffset>
              </wp:positionV>
              <wp:extent cx="1737995" cy="20574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799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6329998</wp:posOffset>
              </wp:positionH>
              <wp:positionV relativeFrom="page">
                <wp:posOffset>552133</wp:posOffset>
              </wp:positionV>
              <wp:extent cx="485140" cy="34417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5108193" y="3612678"/>
                        <a:ext cx="47561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75.9999942779541"/>
                            <w:ind w:left="153.99999618530273" w:right="5" w:firstLine="18.9999997615814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Session 2022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6329998</wp:posOffset>
              </wp:positionH>
              <wp:positionV relativeFrom="page">
                <wp:posOffset>552133</wp:posOffset>
              </wp:positionV>
              <wp:extent cx="485140" cy="344170"/>
              <wp:effectExtent b="0" l="0" r="0" t="0"/>
              <wp:wrapNone/>
              <wp:docPr id="4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140" cy="344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2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1183" w:hanging="332"/>
      </w:pPr>
      <w:rPr>
        <w:rFonts w:ascii="Arial MT" w:cs="Arial MT" w:eastAsia="Arial MT" w:hAnsi="Arial MT"/>
        <w:sz w:val="20"/>
        <w:szCs w:val="20"/>
      </w:rPr>
    </w:lvl>
    <w:lvl w:ilvl="2">
      <w:start w:val="0"/>
      <w:numFmt w:val="bullet"/>
      <w:lvlText w:val="•"/>
      <w:lvlJc w:val="left"/>
      <w:pPr>
        <w:ind w:left="2407" w:hanging="332"/>
      </w:pPr>
      <w:rPr/>
    </w:lvl>
    <w:lvl w:ilvl="3">
      <w:start w:val="0"/>
      <w:numFmt w:val="bullet"/>
      <w:lvlText w:val="•"/>
      <w:lvlJc w:val="left"/>
      <w:pPr>
        <w:ind w:left="3594" w:hanging="332"/>
      </w:pPr>
      <w:rPr/>
    </w:lvl>
    <w:lvl w:ilvl="4">
      <w:start w:val="0"/>
      <w:numFmt w:val="bullet"/>
      <w:lvlText w:val="•"/>
      <w:lvlJc w:val="left"/>
      <w:pPr>
        <w:ind w:left="4782" w:hanging="332"/>
      </w:pPr>
      <w:rPr/>
    </w:lvl>
    <w:lvl w:ilvl="5">
      <w:start w:val="0"/>
      <w:numFmt w:val="bullet"/>
      <w:lvlText w:val="•"/>
      <w:lvlJc w:val="left"/>
      <w:pPr>
        <w:ind w:left="5969" w:hanging="332.0000000000009"/>
      </w:pPr>
      <w:rPr/>
    </w:lvl>
    <w:lvl w:ilvl="6">
      <w:start w:val="0"/>
      <w:numFmt w:val="bullet"/>
      <w:lvlText w:val="•"/>
      <w:lvlJc w:val="left"/>
      <w:pPr>
        <w:ind w:left="7156" w:hanging="332"/>
      </w:pPr>
      <w:rPr/>
    </w:lvl>
    <w:lvl w:ilvl="7">
      <w:start w:val="0"/>
      <w:numFmt w:val="bullet"/>
      <w:lvlText w:val="•"/>
      <w:lvlJc w:val="left"/>
      <w:pPr>
        <w:ind w:left="8344" w:hanging="332.0000000000009"/>
      </w:pPr>
      <w:rPr/>
    </w:lvl>
    <w:lvl w:ilvl="8">
      <w:start w:val="0"/>
      <w:numFmt w:val="bullet"/>
      <w:lvlText w:val="•"/>
      <w:lvlJc w:val="left"/>
      <w:pPr>
        <w:ind w:left="9531" w:hanging="332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1279" w:hanging="360.9999999999999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2342" w:hanging="361"/>
      </w:pPr>
      <w:rPr/>
    </w:lvl>
    <w:lvl w:ilvl="2">
      <w:start w:val="0"/>
      <w:numFmt w:val="bullet"/>
      <w:lvlText w:val="•"/>
      <w:lvlJc w:val="left"/>
      <w:pPr>
        <w:ind w:left="3405" w:hanging="361"/>
      </w:pPr>
      <w:rPr/>
    </w:lvl>
    <w:lvl w:ilvl="3">
      <w:start w:val="0"/>
      <w:numFmt w:val="bullet"/>
      <w:lvlText w:val="•"/>
      <w:lvlJc w:val="left"/>
      <w:pPr>
        <w:ind w:left="4467" w:hanging="361"/>
      </w:pPr>
      <w:rPr/>
    </w:lvl>
    <w:lvl w:ilvl="4">
      <w:start w:val="0"/>
      <w:numFmt w:val="bullet"/>
      <w:lvlText w:val="•"/>
      <w:lvlJc w:val="left"/>
      <w:pPr>
        <w:ind w:left="5530" w:hanging="361"/>
      </w:pPr>
      <w:rPr/>
    </w:lvl>
    <w:lvl w:ilvl="5">
      <w:start w:val="0"/>
      <w:numFmt w:val="bullet"/>
      <w:lvlText w:val="•"/>
      <w:lvlJc w:val="left"/>
      <w:pPr>
        <w:ind w:left="6593" w:hanging="361.0000000000009"/>
      </w:pPr>
      <w:rPr/>
    </w:lvl>
    <w:lvl w:ilvl="6">
      <w:start w:val="0"/>
      <w:numFmt w:val="bullet"/>
      <w:lvlText w:val="•"/>
      <w:lvlJc w:val="left"/>
      <w:pPr>
        <w:ind w:left="7655" w:hanging="361"/>
      </w:pPr>
      <w:rPr/>
    </w:lvl>
    <w:lvl w:ilvl="7">
      <w:start w:val="0"/>
      <w:numFmt w:val="bullet"/>
      <w:lvlText w:val="•"/>
      <w:lvlJc w:val="left"/>
      <w:pPr>
        <w:ind w:left="8718" w:hanging="361"/>
      </w:pPr>
      <w:rPr/>
    </w:lvl>
    <w:lvl w:ilvl="8">
      <w:start w:val="0"/>
      <w:numFmt w:val="bullet"/>
      <w:lvlText w:val="•"/>
      <w:lvlJc w:val="left"/>
      <w:pPr>
        <w:ind w:left="9781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52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28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fr-FR"/>
    </w:rPr>
  </w:style>
  <w:style w:type="paragraph" w:styleId="Titre1">
    <w:name w:val="heading 1"/>
    <w:basedOn w:val="Normal"/>
    <w:uiPriority w:val="9"/>
    <w:qFormat w:val="1"/>
    <w:pPr>
      <w:ind w:left="852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itre2">
    <w:name w:val="heading 2"/>
    <w:basedOn w:val="Normal"/>
    <w:uiPriority w:val="9"/>
    <w:unhideWhenUsed w:val="1"/>
    <w:qFormat w:val="1"/>
    <w:pPr>
      <w:ind w:left="28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0"/>
      <w:szCs w:val="20"/>
    </w:rPr>
  </w:style>
  <w:style w:type="paragraph" w:styleId="Paragraphedeliste">
    <w:name w:val="List Paragraph"/>
    <w:basedOn w:val="Normal"/>
    <w:uiPriority w:val="1"/>
    <w:qFormat w:val="1"/>
    <w:pPr>
      <w:spacing w:before="21"/>
      <w:ind w:left="1279" w:hanging="361"/>
    </w:pPr>
  </w:style>
  <w:style w:type="paragraph" w:styleId="TableParagraph" w:customStyle="1">
    <w:name w:val="Table Paragraph"/>
    <w:basedOn w:val="Normal"/>
    <w:uiPriority w:val="1"/>
    <w:qFormat w:val="1"/>
    <w:rPr>
      <w:rFonts w:ascii="Arial" w:cs="Arial" w:eastAsia="Arial" w:hAnsi="Arial"/>
    </w:rPr>
  </w:style>
  <w:style w:type="character" w:styleId="Lienhypertexte">
    <w:name w:val="Hyperlink"/>
    <w:basedOn w:val="Policepardfaut"/>
    <w:uiPriority w:val="99"/>
    <w:unhideWhenUsed w:val="1"/>
    <w:rsid w:val="00C914A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914A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14.png"/><Relationship Id="rId21" Type="http://schemas.openxmlformats.org/officeDocument/2006/relationships/image" Target="media/image4.png"/><Relationship Id="rId24" Type="http://schemas.openxmlformats.org/officeDocument/2006/relationships/image" Target="media/image24.jpg"/><Relationship Id="rId23" Type="http://schemas.openxmlformats.org/officeDocument/2006/relationships/hyperlink" Target="https://www.youtube.com/watch?v=se-Dq8aF0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21.png"/><Relationship Id="rId25" Type="http://schemas.openxmlformats.org/officeDocument/2006/relationships/image" Target="media/image5.png"/><Relationship Id="rId28" Type="http://schemas.openxmlformats.org/officeDocument/2006/relationships/image" Target="media/image15.png"/><Relationship Id="rId27" Type="http://schemas.openxmlformats.org/officeDocument/2006/relationships/image" Target="media/image2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7.png"/><Relationship Id="rId7" Type="http://schemas.openxmlformats.org/officeDocument/2006/relationships/image" Target="media/image12.png"/><Relationship Id="rId8" Type="http://schemas.openxmlformats.org/officeDocument/2006/relationships/image" Target="media/image13.png"/><Relationship Id="rId31" Type="http://schemas.openxmlformats.org/officeDocument/2006/relationships/image" Target="media/image8.png"/><Relationship Id="rId30" Type="http://schemas.openxmlformats.org/officeDocument/2006/relationships/image" Target="media/image1.png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9.png"/><Relationship Id="rId12" Type="http://schemas.openxmlformats.org/officeDocument/2006/relationships/image" Target="media/image2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20.png"/><Relationship Id="rId19" Type="http://schemas.openxmlformats.org/officeDocument/2006/relationships/image" Target="media/image22.jpg"/><Relationship Id="rId18" Type="http://schemas.openxmlformats.org/officeDocument/2006/relationships/image" Target="media/image1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yfE65J3lUiASiVoA3tlWNQahw==">AMUW2mWCoFgHojcYUkAXxVRwFdBWxUM7MycSetR8+3uK7981/gp2g0RMvFqTitnYSwqLRWvWTuEokdGUkVXpyjS2B+9GRdxtNosNisLIM/lhJoW0OeYDKeU=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2022-05-16T23:38:00Z</dcterms:created>
  <dc:creator>SIEC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2022-05-16T00:00:00Z</vt:filetime>
  </property>
</Properties>
</file>