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BACCALAURÉAT GÉNÉRAL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Épreuve pratique de l’enseignement de spécialité physique-chimie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Évaluation des Compétences Expérimentales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fait partie de la banque nationale.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1" w:sz="12" w:val="single"/>
          <w:bottom w:color="000000" w:space="1" w:sz="12" w:val="single"/>
          <w:right w:color="000000" w:space="1" w:sz="12" w:val="single"/>
          <w:between w:space="0" w:sz="0" w:val="nil"/>
        </w:pBdr>
        <w:shd w:fill="d9d9d9" w:val="clear"/>
        <w:tabs>
          <w:tab w:val="left" w:pos="-1985"/>
          <w:tab w:val="left" w:pos="567"/>
        </w:tabs>
        <w:spacing w:after="0" w:before="0" w:line="264" w:lineRule="auto"/>
        <w:ind w:left="142" w:right="139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ÉNONCÉ DESTINÉ AU CANDIDAT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6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33"/>
        <w:gridCol w:w="4933"/>
        <w:tblGridChange w:id="0">
          <w:tblGrid>
            <w:gridCol w:w="4933"/>
            <w:gridCol w:w="4933"/>
          </w:tblGrid>
        </w:tblGridChange>
      </w:tblGrid>
      <w:tr>
        <w:trPr>
          <w:cantSplit w:val="0"/>
          <w:tblHeader w:val="0"/>
        </w:trPr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Prénom : </w:t>
            </w:r>
          </w:p>
        </w:tc>
      </w:tr>
      <w:tr>
        <w:trPr>
          <w:cantSplit w:val="0"/>
          <w:tblHeader w:val="0"/>
        </w:trPr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Centre d’examen :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d’inscription : 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comporte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pages sur lesquelles le candidat doit consigner ses réponses.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restituer ce document avant de sortir de la salle d'examen.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agir en autonomie et faire preuve d’initiative tout au long de l’épreuve.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cas de difficulté, le candidat peut solliciter l’examinateur afin de lui permettre de continuer la tâche.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L’examinateur peut intervenir à tout moment, s’il le juge utile.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L’usage de calculatrice avec mode examen actif est autorisé. L’usage de calculatrice sans mémoire « type collège » est autorisé.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CONTEXTE DE LA SITUATION D’ÉVALUATION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cinétique chimique consiste à étudier l’évolution temporelle d’une réaction chimique. Elle permet, par exemple, de formuler des hypothèses sur le mécanisme réactionnel d’une réaction.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Pour tester ces hypothèses, les chimistes peuvent chercher à déterminer expérimentalement la loi de vitesse par rapport à un réactif avec son ordre de réaction.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but de cette épreuve est de déterminer si la réaction entre les ions peroxodisulfate et les ions iodure vérifie une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loi de vitesse d’ordre 1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 rapport à la concentration en ions peroxodisulfate.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INFORMATIONS MISES À DISPOSITION DU CANDIDAT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Réaction chimique entre les ions peroxodisulfate et les ions iodure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réaction entre 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2-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les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ions iodure </w:t>
      </w:r>
      <m:oMath>
        <m:sSup>
          <m:s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I</m:t>
            </m:r>
          </m:e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– </m:t>
            </m:r>
          </m:sup>
        </m:s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 modélisée par l’équation suivante 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2-</m:t>
            </m:r>
          </m:sup>
        </m:sSubSup>
        <m:d>
          <m:dPr>
            <m:begChr m:val="("/>
            <m:endChr m:val=")"/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d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aq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+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2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sSup>
          <m:s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I</m:t>
            </m:r>
          </m:e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-</m:t>
            </m:r>
          </m:sup>
        </m:sSup>
        <m:d>
          <m:dPr>
            <m:begChr m:val="("/>
            <m:endChr m:val=")"/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d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aq</m:t>
            </m:r>
          </m:e>
        </m: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>→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2 S</m:t>
        </m:r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4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2-</m:t>
            </m:r>
          </m:sup>
        </m:sSubSup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(aq)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+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I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</m:t>
            </m:r>
          </m:sub>
        </m:sSub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(aq)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Toutes les espèces chimiques intervenant dans cette réaction sont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incolores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solution aqueuse à l’exception du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diiode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qui confère une couleur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jaune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à la solution.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Après le mélange des deux réactifs, une coloration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jaune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apparaît progressivement.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Suivi cinétique de la réaction par spectrophotométrie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Dans ce suivi, les ions iodures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sont toujours introduits en large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excès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 rapport aux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2-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.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loi de Beer-Lambert permet de relier l’absorbance de la solution à la concentration en diiode. On peut alors en déduire la concentration en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2-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.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Ainsi, si la réaction totale est d’ordre 1 par rapport à la concentration en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2-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, 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l’absorbance de la solution vérifie la relation :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ℓn( 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fPr>
          <m:num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max</m:t>
                </m:r>
              </m:sub>
            </m:sSub>
          </m:num>
          <m:den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A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max</m:t>
                </m:r>
              </m:sub>
            </m:s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 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-</m:t>
            </m:r>
            <m:r>
              <w:rPr>
                <w:rFonts w:ascii="Cambria Math" w:cs="Cambria Math" w:eastAsia="Cambria Math" w:hAnsi="Cambria Math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 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A(t)</m:t>
            </m:r>
          </m:den>
        </m:f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)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=</m:t>
        </m:r>
      </m:oMath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k × 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où </w:t>
      </w:r>
      <m:oMath>
        <m:sSub>
          <m:sSub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e>
          <m:sub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max</m:t>
            </m:r>
          </m:sub>
        </m:sSub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est l’absorbance de la solution à l’état final et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une constante.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Modélisation de la courbe de la répartition des points expérimentaux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42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42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considère ici que la modélisation est considérée valide :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423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la répartition des points expérimentaux est en accord avec la courbe modélisée 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423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le coefficient de corrélation est compris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entre 0,99 et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42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42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42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TRAVAIL À EFFECTUER </w:t>
      </w:r>
    </w:p>
    <w:p w:rsidR="00000000" w:rsidDel="00000000" w:rsidP="00000000" w:rsidRDefault="00000000" w:rsidRPr="00000000" w14:paraId="00000051">
      <w:pPr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/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Suivi cinétique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Mettre en œuvre le protocole suivant 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Paramétrer le logiciel de l’interface d’acquisition pour effectuer une saisie de mesures, toutes les 2 ou 3 secondes, pour une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durée totale de 20 minutes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;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76923c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Faire le zéro du spectrophotomètre avec de l’eau distillée à une longueur d’onde de 500 nm 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/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Prélever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10,0 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solution aqueuse de peroxodisulfate de potassium (2K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(aq)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2–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(aq)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concentration en quantité de matière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1,0×10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introduire ce prélèvement dans un bécher n°1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50 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Les étapes suivantes devront être mises en œuvre rapidement :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Prélever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10 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solution d’iodure de potassium (K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(aq)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aq)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de concentration en quantité de              matière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verser ce prélèvement dans le bécher n°1 pour constituer le mélange réactionnel ;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Agiter rapidement le mélange, en prélever un échantillon et le verser dans une cuve pour spectrophotomètre ;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Placer la cuve dans le spectrophotomètre et démarrer l’acquisition ;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Pendant l’acquisition,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commencer à traiter le paragraphe 2.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n°1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les résultats expérimentaux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ou en cas de difficulté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/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Préparation de la solution de peroxodisulfate de potassium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solution de peroxodisulfate de potassium de concentration en quantité de matière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1,0×10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utilisée dans la partie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été obtenue par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dilution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d’une solution mère à la concentration en quantité de matière                                                   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2,0×10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2.1. Sélectionner le matériel nécessaire à la réalisation de cette dilution en justifiant.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On a :  Cfille = 1,0×10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superscript"/>
          <w:rtl w:val="0"/>
        </w:rPr>
        <w:t xml:space="preserve">–2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mol·L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superscript"/>
          <w:rtl w:val="0"/>
        </w:rPr>
        <w:t xml:space="preserve">–1 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; Cmère = 2,0×10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mol·L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D’après la formule du facteur de dilution : F= Cmère/ Cfille ; F est égal à : 20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Vfille = 10,0 mL (j’ai utilisé la valeur de la solution prélevée dans la partie 1) donc (d’après la 2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formule du facteur de dilution F= Vfille/Vmère) : Vmère = Vfille/F </w:t>
      </w:r>
      <w:r w:rsidDel="00000000" w:rsidR="00000000" w:rsidRPr="00000000">
        <w:rPr>
          <w:rFonts w:ascii="Wingdings" w:cs="Wingdings" w:eastAsia="Wingdings" w:hAnsi="Wingdings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Vmère = 0,5 mL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De ce fait, il faut disposer d’une pipette jaugée de 5mL pour prélever la solution mère de 0,5 mL (résultat peut-être bizarre mais je ne vois pas comment en obtenir un autre car celui-ci correspond à la formule…) que l’on versera dans une fiole jaugée de 10 mL : on rempli d’eau distillée jusqu’au trait de jauge et on mélange afin d’obtenir la solution fille (le peroxodisulfate de potassium).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Candara" w:cs="Candara" w:eastAsia="Candara" w:hAnsi="Candara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n°2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le matériel sélectionné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ou en cas de difficulté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2.2.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Effectuer cette dilution afin de préparer une solution de peroxodisulfate de potassium de concentration en quantité de matière 1,0×10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–2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/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Modélisation et détermination de l’ordre de la réaction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firstLine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3.1. À partir de l’information relative au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suivi cinétique de la réaction par spectrophotométrie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indiquer la courbe à tracer pour vérifier si la réaction totale étudiée est d’ordre 1 par rapport à la concentration en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2-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Préciser les grandeurs à porter sur les deux axes. Expliquer la démarche suivie.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D’après la formule de l’absorbance, on peut constater qu’elle est de la forme y =ax, représentative d’une droite linéaire (et donc synonyme de proportionnalité</w:t>
      </w:r>
      <w:r w:rsidDel="00000000" w:rsidR="00000000" w:rsidRPr="00000000">
        <w:rPr>
          <w:rFonts w:ascii="Candara" w:cs="Candara" w:eastAsia="Candara" w:hAnsi="Candara"/>
          <w:i w:val="1"/>
          <w:color w:val="0070c0"/>
          <w:sz w:val="24"/>
          <w:szCs w:val="24"/>
          <w:rtl w:val="0"/>
        </w:rPr>
        <w:t xml:space="preserve">) :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ainsi nous devons obtenir une droite linéaire avec pour abscisse l’absorbance et pour ordonnée la concentration.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Une fois la courbe obtenue, nous prendrons la valeur de Amax que nous reporterons sur la droite.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Ensuite</w:t>
      </w:r>
      <w:r w:rsidDel="00000000" w:rsidR="00000000" w:rsidRPr="00000000">
        <w:rPr>
          <w:rFonts w:ascii="Candara" w:cs="Candara" w:eastAsia="Candara" w:hAnsi="Candara"/>
          <w:i w:val="1"/>
          <w:color w:val="0070c0"/>
          <w:sz w:val="24"/>
          <w:szCs w:val="24"/>
          <w:rtl w:val="0"/>
        </w:rPr>
        <w:t xml:space="preserve">, nous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projetterons sur l’axe des ordonnées afin de déterminer la concentration.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ndara" w:cs="Candara" w:eastAsia="Candara" w:hAnsi="Candara"/>
          <w:i w:val="1"/>
          <w:color w:val="00ff00"/>
          <w:sz w:val="24"/>
          <w:szCs w:val="24"/>
        </w:rPr>
      </w:pPr>
      <w:r w:rsidDel="00000000" w:rsidR="00000000" w:rsidRPr="00000000">
        <w:rPr>
          <w:rFonts w:ascii="Candara" w:cs="Candara" w:eastAsia="Candara" w:hAnsi="Candara"/>
          <w:i w:val="1"/>
          <w:color w:val="00ff00"/>
          <w:sz w:val="24"/>
          <w:szCs w:val="24"/>
          <w:rtl w:val="0"/>
        </w:rPr>
        <w:t xml:space="preserve">Ici je dirai plutôt qu’il faut tracer la droite qu’il faut tracer d’abord la droit A=f(t) (et non pas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Candara" w:cs="Candara" w:eastAsia="Candara" w:hAnsi="Candara"/>
          <w:i w:val="1"/>
          <w:color w:val="00ff00"/>
          <w:sz w:val="24"/>
          <w:szCs w:val="24"/>
          <w:rtl w:val="0"/>
        </w:rPr>
        <w:t xml:space="preserve">l’absorbance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Candara" w:cs="Candara" w:eastAsia="Candara" w:hAnsi="Candara"/>
          <w:i w:val="1"/>
          <w:color w:val="00ff00"/>
          <w:sz w:val="24"/>
          <w:szCs w:val="24"/>
          <w:rtl w:val="0"/>
        </w:rPr>
        <w:t xml:space="preserve"> en fonction de la concentration, parce qu’ici on ne mesure que l’absorbance d’UNE seule solution en fonction du temps,) et déterminer Amax à l’aide de cette droite. Ensuite, pour vérifier que la réaction est d’ordre 1, il faut tracer la droite </w:t>
      </w:r>
      <w:r w:rsidDel="00000000" w:rsidR="00000000" w:rsidRPr="00000000">
        <w:rPr>
          <w:highlight w:val="yellow"/>
          <w:rtl w:val="0"/>
        </w:rPr>
        <w:t xml:space="preserve">ℓn( </w:t>
      </w:r>
      <m:oMath>
        <m:f>
          <m:fPr>
            <m:ctrlPr>
              <w:rPr>
                <w:i w:val="1"/>
                <w:highlight w:val="yellow"/>
              </w:rPr>
            </m:ctrlPr>
          </m:fPr>
          <m:num>
            <m:sSub>
              <m:sSubPr>
                <m:ctrlPr>
                  <w:rPr>
                    <w:i w:val="1"/>
                    <w:highlight w:val="yellow"/>
                  </w:rPr>
                </m:ctrlPr>
              </m:sSubPr>
              <m:e>
                <m:r>
                  <w:rPr>
                    <w:i w:val="1"/>
                    <w:highlight w:val="yellow"/>
                  </w:rPr>
                  <m:t xml:space="preserve">A</m:t>
                </m:r>
              </m:e>
              <m:sub>
                <m:r>
                  <w:rPr>
                    <w:i w:val="1"/>
                    <w:highlight w:val="yellow"/>
                  </w:rPr>
                  <m:t xml:space="preserve">max</m:t>
                </m:r>
              </m:sub>
            </m:sSub>
          </m:num>
          <m:den>
            <m:sSub>
              <m:sSubPr>
                <m:ctrlPr>
                  <w:rPr>
                    <w:i w:val="1"/>
                    <w:highlight w:val="yellow"/>
                  </w:rPr>
                </m:ctrlPr>
              </m:sSubPr>
              <m:e>
                <m:r>
                  <w:rPr>
                    <w:i w:val="1"/>
                    <w:highlight w:val="yellow"/>
                  </w:rPr>
                  <m:t xml:space="preserve">A</m:t>
                </m:r>
              </m:e>
              <m:sub>
                <m:r>
                  <w:rPr>
                    <w:i w:val="1"/>
                    <w:highlight w:val="yellow"/>
                  </w:rPr>
                  <m:t xml:space="preserve">max</m:t>
                </m:r>
              </m:sub>
            </m:sSub>
            <m:r>
              <w:rPr>
                <w:rFonts w:ascii="Cambria Math" w:cs="Cambria Math" w:eastAsia="Cambria Math" w:hAnsi="Cambria Math"/>
                <w:highlight w:val="yellow"/>
              </w:rPr>
              <m:t xml:space="preserve"> </m:t>
            </m:r>
            <m:r>
              <w:rPr>
                <w:i w:val="1"/>
                <w:highlight w:val="yellow"/>
              </w:rPr>
              <m:t xml:space="preserve">-</m:t>
            </m:r>
            <m:r>
              <w:rPr>
                <w:rFonts w:ascii="Cambria Math" w:cs="Cambria Math" w:eastAsia="Cambria Math" w:hAnsi="Cambria Math"/>
                <w:i w:val="1"/>
                <w:highlight w:val="yellow"/>
              </w:rPr>
              <m:t xml:space="preserve"> </m:t>
            </m:r>
            <m:r>
              <w:rPr>
                <w:i w:val="1"/>
                <w:highlight w:val="yellow"/>
              </w:rPr>
              <m:t xml:space="preserve">A(t)</m:t>
            </m:r>
          </m:den>
        </m:f>
        <m:r>
          <w:rPr>
            <w:highlight w:val="yellow"/>
          </w:rPr>
          <m:t xml:space="preserve">)</m:t>
        </m:r>
        <m:r>
          <w:rPr>
            <w:rFonts w:ascii="Cambria Math" w:cs="Cambria Math" w:eastAsia="Cambria Math" w:hAnsi="Cambria Math"/>
            <w:highlight w:val="yellow"/>
          </w:rPr>
          <m:t xml:space="preserve">=</m:t>
        </m:r>
      </m:oMath>
      <w:r w:rsidDel="00000000" w:rsidR="00000000" w:rsidRPr="00000000">
        <w:rPr>
          <w:rFonts w:ascii="Cambria Math" w:cs="Cambria Math" w:eastAsia="Cambria Math" w:hAnsi="Cambria Math"/>
          <w:highlight w:val="yellow"/>
          <w:rtl w:val="0"/>
        </w:rPr>
        <w:t xml:space="preserve">f(t) </w:t>
      </w:r>
      <w:r w:rsidDel="00000000" w:rsidR="00000000" w:rsidRPr="00000000">
        <w:rPr>
          <w:rFonts w:ascii="Cambria Math" w:cs="Cambria Math" w:eastAsia="Cambria Math" w:hAnsi="Cambria Math"/>
          <w:color w:val="00ff00"/>
          <w:highlight w:val="white"/>
          <w:rtl w:val="0"/>
        </w:rPr>
        <w:t xml:space="preserve">et vérifier si c’est une droite passant par l’origine.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Mettre en œuvre le protocole suivant 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Relever la valeur d’absorbance maximale 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max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………………………………. 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Transférer les mesures des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huit premières minutes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du suivi cinétique vers le logiciel de traitement des données ;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Créer dans le logiciel de traitement la grandeur utile pour vérifier si la réaction étudiée est d’ordre 1 par rapport à la concentration en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2-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;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Modéliser la répartition des points expérimentaux avec le graphe adéquat.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rHeight w:val="115" w:hRule="atLeast"/>
          <w:tblHeader w:val="0"/>
        </w:trPr>
        <w:tc>
          <w:tcPr>
            <w:tcBorders>
              <w:top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n°3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la modélisation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ou en cas de difficulté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firstLine="425.9999999999999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3.2. Rédiger un court compte rendu indiquant si la réaction étudiée est d’ordre 1 par rapport à la concentration en ions peroxodisulfate </w:t>
      </w:r>
      <m:oMath>
        <m:sSub>
          <m:sSub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S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</m:t>
            </m:r>
          </m:sub>
        </m:sSub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O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8</m:t>
            </m:r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2-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Défaire le montage et ranger la paillasse avant de quitter la salle.</w:t>
      </w:r>
    </w:p>
    <w:sectPr>
      <w:headerReference r:id="rId9" w:type="default"/>
      <w:footerReference r:id="rId10" w:type="default"/>
      <w:pgSz w:h="16838" w:w="11906" w:orient="portrait"/>
      <w:pgMar w:bottom="851" w:top="851" w:left="851" w:right="851" w:header="851" w:footer="567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Miraソロレ" w:id="0" w:date="2022-05-28T16:15:07Z"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d'accord, mercii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A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ingdings"/>
  <w:font w:name="Noto Sans Symbols"/>
  <w:font w:name="Cambria Math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4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 </w:t>
      <w:tab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ORDRE DE RÉACTION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Session</w:t>
    </w:r>
  </w:p>
  <w:p w:rsidR="00000000" w:rsidDel="00000000" w:rsidP="00000000" w:rsidRDefault="00000000" w:rsidRPr="00000000" w14:paraId="000000A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 xml:space="preserve">2022</w:t>
    </w:r>
  </w:p>
  <w:p w:rsidR="00000000" w:rsidDel="00000000" w:rsidP="00000000" w:rsidRDefault="00000000" w:rsidRPr="00000000" w14:paraId="000000A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2"/>
      <w:numFmt w:val="bullet"/>
      <w:lvlText w:val="-"/>
      <w:lvlJc w:val="left"/>
      <w:pPr>
        <w:ind w:left="720" w:hanging="360"/>
      </w:pPr>
      <w:rPr>
        <w:rFonts w:ascii="Candara" w:cs="Candara" w:eastAsia="Candara" w:hAnsi="Candar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-FR"/>
      </w:rPr>
    </w:rPrDefault>
    <w:pPrDefault>
      <w:pPr>
        <w:spacing w:line="264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00000" w:space="1" w:sz="12" w:val="single"/>
        <w:left w:color="000000" w:space="1" w:sz="12" w:val="single"/>
        <w:bottom w:color="000000" w:space="1" w:sz="12" w:val="single"/>
        <w:right w:color="000000" w:space="1" w:sz="12" w:val="single"/>
      </w:pBdr>
      <w:shd w:fill="d9d9d9" w:val="clear"/>
      <w:tabs>
        <w:tab w:val="left" w:pos="-1985"/>
        <w:tab w:val="left" w:pos="567"/>
      </w:tabs>
      <w:ind w:left="0" w:firstLine="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567" w:hanging="567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418" w:hanging="850"/>
    </w:pPr>
    <w:rPr/>
  </w:style>
  <w:style w:type="paragraph" w:styleId="Heading4">
    <w:name w:val="heading 4"/>
    <w:basedOn w:val="Normal"/>
    <w:next w:val="Normal"/>
    <w:pPr>
      <w:ind w:left="2211" w:hanging="1131"/>
    </w:pPr>
    <w:rPr/>
  </w:style>
  <w:style w:type="paragraph" w:styleId="Heading5">
    <w:name w:val="heading 5"/>
    <w:basedOn w:val="Normal"/>
    <w:next w:val="Normal"/>
    <w:pPr>
      <w:keepNext w:val="1"/>
      <w:tabs>
        <w:tab w:val="left" w:pos="-1985"/>
      </w:tabs>
    </w:pPr>
    <w:rPr>
      <w:rFonts w:ascii="Garamond" w:cs="Garamond" w:eastAsia="Garamond" w:hAnsi="Garamond"/>
      <w:b w:val="1"/>
    </w:rPr>
  </w:style>
  <w:style w:type="paragraph" w:styleId="Heading6">
    <w:name w:val="heading 6"/>
    <w:basedOn w:val="Normal"/>
    <w:next w:val="Normal"/>
    <w:pPr>
      <w:keepNext w:val="1"/>
      <w:ind w:right="-2472"/>
    </w:pPr>
    <w:rPr>
      <w:i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56DD6"/>
    <w:pPr>
      <w:spacing w:line="264" w:lineRule="auto"/>
      <w:jc w:val="both"/>
    </w:pPr>
    <w:rPr>
      <w:rFonts w:ascii="Arial" w:cs="Arial" w:hAnsi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color="auto" w:space="1" w:sz="12" w:val="single"/>
        <w:left w:color="auto" w:space="1" w:sz="12" w:val="single"/>
        <w:bottom w:color="auto" w:space="1" w:sz="12" w:val="single"/>
        <w:right w:color="auto" w:space="1" w:sz="12" w:val="single"/>
      </w:pBdr>
      <w:shd w:color="auto" w:fill="ffffff" w:val="pct15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 w:val="1"/>
      <w:bCs w:val="1"/>
    </w:rPr>
  </w:style>
  <w:style w:type="paragraph" w:styleId="Titre2">
    <w:name w:val="heading 2"/>
    <w:basedOn w:val="Normal"/>
    <w:next w:val="Normal"/>
    <w:link w:val="Titre2Car"/>
    <w:rsid w:val="00207C64"/>
    <w:pPr>
      <w:keepNext w:val="1"/>
      <w:numPr>
        <w:ilvl w:val="1"/>
        <w:numId w:val="1"/>
      </w:numPr>
      <w:outlineLvl w:val="1"/>
    </w:pPr>
    <w:rPr>
      <w:b w:val="1"/>
    </w:rPr>
  </w:style>
  <w:style w:type="paragraph" w:styleId="Titre3">
    <w:name w:val="heading 3"/>
    <w:basedOn w:val="Normal"/>
    <w:next w:val="Titre4"/>
    <w:rsid w:val="00125FB0"/>
    <w:pPr>
      <w:keepNext w:val="1"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 w:val="1"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outlineLvl w:val="4"/>
    </w:pPr>
    <w:rPr>
      <w:rFonts w:ascii="Garamond" w:hAnsi="Garamond"/>
      <w:b w:val="1"/>
      <w:bCs w:val="1"/>
    </w:rPr>
  </w:style>
  <w:style w:type="paragraph" w:styleId="Titre6">
    <w:name w:val="heading 6"/>
    <w:basedOn w:val="Normal"/>
    <w:next w:val="Normal"/>
    <w:rsid w:val="001D6C11"/>
    <w:pPr>
      <w:keepNext w:val="1"/>
      <w:ind w:right="-2472"/>
      <w:outlineLvl w:val="5"/>
    </w:pPr>
    <w:rPr>
      <w:i w:val="1"/>
      <w:color w:val="ff0000"/>
    </w:rPr>
  </w:style>
  <w:style w:type="paragraph" w:styleId="Titre7">
    <w:name w:val="heading 7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jc w:val="center"/>
      <w:outlineLvl w:val="6"/>
    </w:pPr>
    <w:rPr>
      <w:b w:val="1"/>
      <w:bCs w:val="1"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ind w:left="-567" w:right="-483"/>
      <w:outlineLvl w:val="7"/>
    </w:pPr>
    <w:rPr>
      <w:b w:val="1"/>
      <w:bCs w:val="1"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 w:val="1"/>
      <w:outlineLvl w:val="8"/>
    </w:pPr>
    <w:rPr>
      <w:b w:val="1"/>
    </w:rPr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CErepres" w:customStyle="1">
    <w:name w:val="ECErepères"/>
    <w:basedOn w:val="ECEcorps"/>
    <w:qFormat w:val="1"/>
    <w:rsid w:val="00197F7D"/>
    <w:pPr>
      <w:jc w:val="center"/>
    </w:pPr>
    <w:rPr>
      <w:sz w:val="18"/>
      <w:szCs w:val="18"/>
    </w:rPr>
  </w:style>
  <w:style w:type="paragraph" w:styleId="ECEappel" w:customStyle="1">
    <w:name w:val="ECEappel"/>
    <w:basedOn w:val="ECEcorps"/>
    <w:qFormat w:val="1"/>
    <w:rsid w:val="00FB14E2"/>
    <w:pPr>
      <w:framePr w:lines="0" w:hSpace="141" w:wrap="around" w:hAnchor="margin" w:vAnchor="text" w:xAlign="center" w:y="98"/>
      <w:jc w:val="center"/>
    </w:pPr>
    <w:rPr>
      <w:rFonts w:eastAsia="Arial Unicode MS"/>
      <w:b w:val="1"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styleId="remarque" w:customStyle="1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 w:val="1"/>
      <w:bCs w:val="1"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lines="0" w:hSpace="142" w:wrap="auto" w:hAnchor="text" w:v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 w:val="1"/>
    <w:rsid w:val="001D6C11"/>
  </w:style>
  <w:style w:type="paragraph" w:styleId="Sous-titre">
    <w:name w:val="Subtitle"/>
    <w:basedOn w:val="Normal"/>
    <w:rsid w:val="001D6C11"/>
    <w:pPr>
      <w:jc w:val="center"/>
    </w:pPr>
    <w:rPr>
      <w:b w:val="1"/>
      <w:i w:val="1"/>
      <w:sz w:val="28"/>
    </w:rPr>
  </w:style>
  <w:style w:type="character" w:styleId="Marquedecommentaire">
    <w:name w:val="annotation reference"/>
    <w:semiHidden w:val="1"/>
    <w:rsid w:val="001D6C11"/>
    <w:rPr>
      <w:sz w:val="16"/>
      <w:szCs w:val="16"/>
    </w:rPr>
  </w:style>
  <w:style w:type="paragraph" w:styleId="Commentaire">
    <w:name w:val="annotation text"/>
    <w:basedOn w:val="Normal"/>
    <w:semiHidden w:val="1"/>
    <w:rsid w:val="001D6C11"/>
  </w:style>
  <w:style w:type="paragraph" w:styleId="Objetducommentaire">
    <w:name w:val="annotation subject"/>
    <w:basedOn w:val="Commentaire"/>
    <w:next w:val="Commentaire"/>
    <w:semiHidden w:val="1"/>
    <w:rsid w:val="001D6C11"/>
    <w:rPr>
      <w:b w:val="1"/>
      <w:bCs w:val="1"/>
    </w:rPr>
  </w:style>
  <w:style w:type="paragraph" w:styleId="Textedebulles">
    <w:name w:val="Balloon Text"/>
    <w:basedOn w:val="Normal"/>
    <w:rsid w:val="001D6C11"/>
    <w:rPr>
      <w:rFonts w:ascii="Tahoma" w:cs="Tahoma" w:hAnsi="Tahoma"/>
      <w:sz w:val="16"/>
      <w:szCs w:val="16"/>
    </w:rPr>
  </w:style>
  <w:style w:type="table" w:styleId="Grilledutableau">
    <w:name w:val="Table Grid"/>
    <w:basedOn w:val="TableauNormal"/>
    <w:uiPriority w:val="59"/>
    <w:rsid w:val="003A04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M1">
    <w:name w:val="toc 1"/>
    <w:aliases w:val="ECEsomm1"/>
    <w:basedOn w:val="ECEcorps"/>
    <w:next w:val="Normal"/>
    <w:uiPriority w:val="39"/>
    <w:qFormat w:val="1"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 w:val="1"/>
    <w:qFormat w:val="1"/>
    <w:rsid w:val="00910B6F"/>
    <w:pPr>
      <w:tabs>
        <w:tab w:val="right" w:leader="dot" w:pos="9628"/>
      </w:tabs>
      <w:spacing w:after="100" w:line="276" w:lineRule="auto"/>
      <w:ind w:left="221"/>
    </w:pPr>
    <w:rPr>
      <w:noProof w:val="1"/>
      <w:color w:val="auto"/>
      <w:lang w:eastAsia="en-US"/>
    </w:rPr>
  </w:style>
  <w:style w:type="paragraph" w:styleId="TM3">
    <w:name w:val="toc 3"/>
    <w:basedOn w:val="Normal"/>
    <w:next w:val="Normal"/>
    <w:autoRedefine w:val="1"/>
    <w:uiPriority w:val="39"/>
    <w:unhideWhenUsed w:val="1"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cs="Times New Roman" w:hAnsi="Calibri"/>
      <w:color w:val="auto"/>
      <w:sz w:val="22"/>
      <w:szCs w:val="22"/>
      <w:lang w:eastAsia="en-US"/>
    </w:rPr>
  </w:style>
  <w:style w:type="paragraph" w:styleId="StyleGrasCentrMotifTransparenteArrire-plan2" w:customStyle="1">
    <w:name w:val="Style Gras Centré Motif : Transparente (Arrière-plan 2)"/>
    <w:basedOn w:val="Normal"/>
    <w:rsid w:val="00B97EB7"/>
    <w:pPr>
      <w:shd w:color="auto" w:fill="eeece1" w:val="clear"/>
      <w:jc w:val="center"/>
    </w:pPr>
    <w:rPr>
      <w:rFonts w:cs="Times New Roman"/>
      <w:b w:val="1"/>
      <w:bCs w:val="1"/>
    </w:rPr>
  </w:style>
  <w:style w:type="paragraph" w:styleId="Default" w:customStyle="1">
    <w:name w:val="Default"/>
    <w:uiPriority w:val="99"/>
    <w:rsid w:val="00BF76AC"/>
    <w:pPr>
      <w:autoSpaceDE w:val="0"/>
      <w:autoSpaceDN w:val="0"/>
      <w:adjustRightInd w:val="0"/>
    </w:pPr>
    <w:rPr>
      <w:rFonts w:ascii="Calibri" w:cs="Calibri" w:eastAsia="MS ??" w:hAnsi="Calibri"/>
      <w:color w:val="000000"/>
      <w:sz w:val="24"/>
      <w:szCs w:val="24"/>
    </w:rPr>
  </w:style>
  <w:style w:type="character" w:styleId="Titre2Car" w:customStyle="1">
    <w:name w:val="Titre 2 Car"/>
    <w:link w:val="Titre2"/>
    <w:rsid w:val="00BF76AC"/>
    <w:rPr>
      <w:rFonts w:ascii="Arial" w:cs="Arial" w:hAnsi="Arial"/>
      <w:b w:val="1"/>
      <w:color w:val="000000"/>
    </w:rPr>
  </w:style>
  <w:style w:type="paragraph" w:styleId="ECEcorps" w:customStyle="1">
    <w:name w:val="ECEcorps"/>
    <w:qFormat w:val="1"/>
    <w:rsid w:val="00C06213"/>
    <w:pPr>
      <w:spacing w:line="264" w:lineRule="auto"/>
      <w:jc w:val="both"/>
    </w:pPr>
    <w:rPr>
      <w:rFonts w:ascii="Arial" w:cs="Arial" w:hAnsi="Arial"/>
    </w:rPr>
  </w:style>
  <w:style w:type="paragraph" w:styleId="ECEtitre" w:customStyle="1">
    <w:name w:val="ECEtitre"/>
    <w:basedOn w:val="ECEcorps"/>
    <w:next w:val="ECEcorps"/>
    <w:qFormat w:val="1"/>
    <w:rsid w:val="00E2460E"/>
    <w:pPr>
      <w:autoSpaceDE w:val="0"/>
      <w:autoSpaceDN w:val="0"/>
      <w:adjustRightInd w:val="0"/>
    </w:pPr>
    <w:rPr>
      <w:b w:val="1"/>
      <w:u w:val="single"/>
    </w:rPr>
  </w:style>
  <w:style w:type="paragraph" w:styleId="ECEfiche" w:customStyle="1">
    <w:name w:val="ECEfiche"/>
    <w:basedOn w:val="Titre1"/>
    <w:next w:val="ECEcorps"/>
    <w:qFormat w:val="1"/>
    <w:rsid w:val="00A12834"/>
    <w:pPr>
      <w:numPr>
        <w:numId w:val="0"/>
      </w:numPr>
    </w:pPr>
    <w:rPr>
      <w:b w:val="0"/>
    </w:rPr>
  </w:style>
  <w:style w:type="paragraph" w:styleId="ECErponse" w:customStyle="1">
    <w:name w:val="ECEréponse"/>
    <w:basedOn w:val="ECEcorps"/>
    <w:qFormat w:val="1"/>
    <w:rsid w:val="00C22A4C"/>
    <w:pPr>
      <w:autoSpaceDE w:val="0"/>
      <w:autoSpaceDN w:val="0"/>
      <w:adjustRightInd w:val="0"/>
      <w:spacing w:before="240" w:line="240" w:lineRule="auto"/>
    </w:pPr>
    <w:rPr>
      <w:bCs w:val="1"/>
      <w:szCs w:val="22"/>
    </w:rPr>
  </w:style>
  <w:style w:type="paragraph" w:styleId="ECEpartie" w:customStyle="1">
    <w:name w:val="ECEpartie"/>
    <w:basedOn w:val="ECEcorps"/>
    <w:next w:val="ECEcorps"/>
    <w:qFormat w:val="1"/>
    <w:rsid w:val="00452138"/>
    <w:pPr>
      <w:numPr>
        <w:numId w:val="4"/>
      </w:numPr>
    </w:pPr>
    <w:rPr>
      <w:b w:val="1"/>
    </w:rPr>
  </w:style>
  <w:style w:type="paragraph" w:styleId="ECEcoeff" w:customStyle="1">
    <w:name w:val="ECEcoeff"/>
    <w:basedOn w:val="ECEcorps"/>
    <w:next w:val="ECEcorps"/>
    <w:qFormat w:val="1"/>
    <w:rsid w:val="0003345D"/>
    <w:rPr>
      <w:b w:val="1"/>
      <w:sz w:val="22"/>
      <w:szCs w:val="22"/>
    </w:rPr>
  </w:style>
  <w:style w:type="paragraph" w:styleId="ECEbordure" w:customStyle="1">
    <w:name w:val="ECEbordure"/>
    <w:basedOn w:val="ECEcorps"/>
    <w:qFormat w:val="1"/>
    <w:rsid w:val="00180BB9"/>
    <w:pPr>
      <w:pBdr>
        <w:top w:color="auto" w:space="1" w:sz="12" w:val="single"/>
        <w:left w:color="auto" w:space="4" w:sz="12" w:val="single"/>
        <w:bottom w:color="auto" w:space="1" w:sz="12" w:val="single"/>
        <w:right w:color="auto" w:space="4" w:sz="12" w:val="single"/>
      </w:pBdr>
      <w:ind w:left="284" w:right="281"/>
    </w:pPr>
  </w:style>
  <w:style w:type="paragraph" w:styleId="ECEsommaire" w:customStyle="1">
    <w:name w:val="ECEsommaire"/>
    <w:basedOn w:val="ECEcorps"/>
    <w:qFormat w:val="1"/>
    <w:rsid w:val="0060508C"/>
    <w:pPr>
      <w:jc w:val="center"/>
    </w:pPr>
    <w:rPr>
      <w:b w:val="1"/>
      <w:sz w:val="24"/>
      <w:szCs w:val="24"/>
    </w:rPr>
  </w:style>
  <w:style w:type="paragraph" w:styleId="ECEpuce1" w:customStyle="1">
    <w:name w:val="ECEpuce1"/>
    <w:basedOn w:val="ECEcorps"/>
    <w:qFormat w:val="1"/>
    <w:rsid w:val="0060508C"/>
    <w:pPr>
      <w:numPr>
        <w:numId w:val="2"/>
      </w:numPr>
    </w:pPr>
    <w:rPr>
      <w:rFonts w:eastAsia="Arial Unicode MS"/>
      <w:bCs w:val="1"/>
      <w:iCs w:val="1"/>
    </w:rPr>
  </w:style>
  <w:style w:type="paragraph" w:styleId="ECEpuce2" w:customStyle="1">
    <w:name w:val="ECEpuce2"/>
    <w:basedOn w:val="ECEcorps"/>
    <w:qFormat w:val="1"/>
    <w:rsid w:val="0060508C"/>
    <w:pPr>
      <w:numPr>
        <w:ilvl w:val="2"/>
        <w:numId w:val="2"/>
      </w:numPr>
      <w:ind w:left="1491" w:hanging="357"/>
    </w:pPr>
    <w:rPr>
      <w:rFonts w:eastAsia="Arial Unicode MS"/>
      <w:bCs w:val="1"/>
      <w:iCs w:val="1"/>
    </w:rPr>
  </w:style>
  <w:style w:type="paragraph" w:styleId="TM4">
    <w:name w:val="toc 4"/>
    <w:basedOn w:val="Normal"/>
    <w:next w:val="Normal"/>
    <w:autoRedefine w:val="1"/>
    <w:uiPriority w:val="39"/>
    <w:unhideWhenUsed w:val="1"/>
    <w:rsid w:val="00943326"/>
    <w:pPr>
      <w:ind w:left="600"/>
    </w:pPr>
  </w:style>
  <w:style w:type="paragraph" w:styleId="TM5">
    <w:name w:val="toc 5"/>
    <w:basedOn w:val="Normal"/>
    <w:next w:val="Normal"/>
    <w:autoRedefine w:val="1"/>
    <w:uiPriority w:val="39"/>
    <w:unhideWhenUsed w:val="1"/>
    <w:rsid w:val="00943326"/>
    <w:pPr>
      <w:ind w:left="800"/>
    </w:pPr>
  </w:style>
  <w:style w:type="paragraph" w:styleId="TM6">
    <w:name w:val="toc 6"/>
    <w:basedOn w:val="Normal"/>
    <w:next w:val="Normal"/>
    <w:autoRedefine w:val="1"/>
    <w:uiPriority w:val="39"/>
    <w:unhideWhenUsed w:val="1"/>
    <w:rsid w:val="00943326"/>
    <w:pPr>
      <w:ind w:left="1000"/>
    </w:pPr>
  </w:style>
  <w:style w:type="paragraph" w:styleId="TM7">
    <w:name w:val="toc 7"/>
    <w:basedOn w:val="Normal"/>
    <w:next w:val="Normal"/>
    <w:autoRedefine w:val="1"/>
    <w:uiPriority w:val="39"/>
    <w:unhideWhenUsed w:val="1"/>
    <w:rsid w:val="00943326"/>
    <w:pPr>
      <w:ind w:left="1200"/>
    </w:pPr>
  </w:style>
  <w:style w:type="paragraph" w:styleId="TM8">
    <w:name w:val="toc 8"/>
    <w:basedOn w:val="Normal"/>
    <w:next w:val="Normal"/>
    <w:autoRedefine w:val="1"/>
    <w:uiPriority w:val="39"/>
    <w:unhideWhenUsed w:val="1"/>
    <w:rsid w:val="00943326"/>
    <w:pPr>
      <w:ind w:left="1400"/>
    </w:pPr>
  </w:style>
  <w:style w:type="paragraph" w:styleId="TM9">
    <w:name w:val="toc 9"/>
    <w:basedOn w:val="Normal"/>
    <w:next w:val="Normal"/>
    <w:autoRedefine w:val="1"/>
    <w:uiPriority w:val="39"/>
    <w:unhideWhenUsed w:val="1"/>
    <w:rsid w:val="00943326"/>
    <w:pPr>
      <w:ind w:left="1600"/>
    </w:pPr>
  </w:style>
  <w:style w:type="character" w:styleId="Textedelespacerserv">
    <w:name w:val="Placeholder Text"/>
    <w:basedOn w:val="Policepardfaut"/>
    <w:uiPriority w:val="99"/>
    <w:semiHidden w:val="1"/>
    <w:rsid w:val="00DD0BBA"/>
    <w:rPr>
      <w:color w:val="808080"/>
    </w:rPr>
  </w:style>
  <w:style w:type="paragraph" w:styleId="Subtitle">
    <w:name w:val="Subtitle"/>
    <w:basedOn w:val="Normal"/>
    <w:next w:val="Normal"/>
    <w:pPr>
      <w:jc w:val="center"/>
    </w:pPr>
    <w:rPr>
      <w:b w:val="1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CambriaMath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P8lwiRxhE0ULxN5Lfy1wLFZErg==">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2022-05-27T08:06:00Z</dcterms:created>
  <dc:creator>SIEC</dc:creator>
</cp:coreProperties>
</file>