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BACCALAURÉAT GÉNÉRAL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Épreuve pratique de l’enseignement de spécialité physique-chimie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Évaluation des Compétences Expérimentales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Cette situation d’évaluation fait partie de la banque nationale.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1" w:sz="12" w:val="single"/>
          <w:bottom w:color="000000" w:space="1" w:sz="12" w:val="single"/>
          <w:right w:color="000000" w:space="1" w:sz="12" w:val="single"/>
          <w:between w:space="0" w:sz="0" w:val="nil"/>
        </w:pBdr>
        <w:shd w:fill="d9d9d9" w:val="clear"/>
        <w:tabs>
          <w:tab w:val="left" w:pos="-1985"/>
          <w:tab w:val="left" w:pos="567"/>
        </w:tabs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ÉNONCÉ DESTINÉ AU CANDIDAT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86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33"/>
        <w:gridCol w:w="4933"/>
        <w:tblGridChange w:id="0">
          <w:tblGrid>
            <w:gridCol w:w="4933"/>
            <w:gridCol w:w="4933"/>
          </w:tblGrid>
        </w:tblGridChange>
      </w:tblGrid>
      <w:tr>
        <w:trPr>
          <w:cantSplit w:val="0"/>
          <w:tblHeader w:val="0"/>
        </w:trPr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 : 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Prénom : </w:t>
            </w:r>
          </w:p>
        </w:tc>
      </w:tr>
      <w:tr>
        <w:trPr>
          <w:cantSplit w:val="0"/>
          <w:tblHeader w:val="0"/>
        </w:trPr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Centre d’examen :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57.0" w:type="dxa"/>
              <w:left w:w="57.0" w:type="dxa"/>
              <w:bottom w:w="57.0" w:type="dxa"/>
              <w:right w:w="57.0" w:type="dxa"/>
            </w:tcMar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n° d’inscription : </w:t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Cette situation d’évaluation comporte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quatre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pages sur lesquelles le candidat doit consigner ses réponses.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candidat doit restituer ce document avant de sortir de la salle d'examen.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candidat doit agir en autonomie et faire preuve d’initiative tout au long de l’épreuve.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cas de difficulté, le candidat peut solliciter l’examinateur afin de lui permettre de continuer la tâche.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L’examinateur peut intervenir à tout moment, s’il le juge utile.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000000" w:space="1" w:sz="12" w:val="single"/>
          <w:left w:color="000000" w:space="4" w:sz="12" w:val="single"/>
          <w:bottom w:color="000000" w:space="1" w:sz="12" w:val="single"/>
          <w:right w:color="000000" w:space="4" w:sz="12" w:val="single"/>
          <w:between w:space="0" w:sz="0" w:val="nil"/>
        </w:pBdr>
        <w:shd w:fill="auto" w:val="clear"/>
        <w:spacing w:after="0" w:before="0" w:line="264" w:lineRule="auto"/>
        <w:ind w:left="284" w:right="28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L’usage de calculatrice avec mode examen actif est autorisé. L’usage de calculatrice sans mémoire « type collège » est autorisé.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CONTEXTE DE LA SITUATION D’ÉVALUATION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Wilhelm Ostwald (1853–1932) est un chimiste germano-balte qui a activement participé au développement du concept d’acidité en s’intéressant notamment à l’influence de la dilution sur les acides faibles. En 1909, il a reçu le </w:t>
      </w:r>
      <w:hyperlink r:id="rId7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prix Nobel de chimie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 « 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reconnaissance de ses travaux sur la 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catalyse</w:t>
        </w:r>
      </w:hyperlink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et pour ses recherches touchant les principes fondamentaux gouvernant l'</w:t>
      </w:r>
      <w:hyperlink r:id="rId9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équilibre chimique</w:t>
        </w:r>
      </w:hyperlink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et les </w:t>
      </w:r>
      <w:hyperlink r:id="rId10">
        <w:r w:rsidDel="00000000" w:rsidR="00000000" w:rsidRPr="00000000">
          <w:rPr>
            <w:rFonts w:ascii="Arial" w:cs="Arial" w:eastAsia="Arial" w:hAnsi="Arial"/>
            <w:b w:val="0"/>
            <w:i w:val="1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vitesses de réaction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».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1888, il énonça la loi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dilution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d’Ostwald 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plus un acide faible est dilué dans l’eau, plus sa dissociation augmente.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Le but de cette épreuve est de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tester la loi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dilution d’Ostwald et de déterminer la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constante d’acidité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de l’acide éthanoïque.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left"/>
        <w:rPr>
          <w:b w:val="1"/>
          <w:color w:val="000000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INFORMATIONS MISES À DISPOSITION DU CANDIDAT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Loi de dilution d’Ostwald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Selon la loi de dilution d’Ostwald, plus 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acide faible est dilué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dans l’eau, plus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la valeur du coefficient de dissociation α augmente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Par conséquent, le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comportement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cet acide faible se rapproche de plus en plus de celui d’un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acide fort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Transformation étudiée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Lorsqu’un acide se dissocie partiellement dans l’eau, on peut introduire le coefficient de dissociation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α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qui correspond au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taux d’acide transformé en base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introduit une quantité de matière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d’acide éthanoïque dans un volume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d’eau. On obtient une solution de concentration apportée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en acide éthanoïque. Le tableau d’avancement de la réaction est donné ci-dessous :</w:t>
      </w:r>
    </w:p>
    <w:tbl>
      <w:tblPr>
        <w:tblStyle w:val="Table2"/>
        <w:tblW w:w="865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83"/>
        <w:gridCol w:w="1328"/>
        <w:gridCol w:w="2642"/>
        <w:gridCol w:w="1117"/>
        <w:gridCol w:w="1414"/>
        <w:gridCol w:w="1471"/>
        <w:tblGridChange w:id="0">
          <w:tblGrid>
            <w:gridCol w:w="683"/>
            <w:gridCol w:w="1328"/>
            <w:gridCol w:w="2642"/>
            <w:gridCol w:w="1117"/>
            <w:gridCol w:w="1414"/>
            <w:gridCol w:w="1471"/>
          </w:tblGrid>
        </w:tblGridChange>
      </w:tblGrid>
      <w:tr>
        <w:trPr>
          <w:cantSplit w:val="0"/>
          <w:trHeight w:val="2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         Équation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CH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H(aq)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   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+          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2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O(</w:t>
            </w:r>
            <w:r w:rsidDel="00000000" w:rsidR="00000000" w:rsidRPr="00000000">
              <w:rPr>
                <w:rFonts w:ascii="Pacifico" w:cs="Pacifico" w:eastAsia="Pacifico" w:hAnsi="Pacific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ℓ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      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⇋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      CH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m:oMath>
              <m:sSubSup>
                <m:sSubSupPr>
                  <m:ctrlP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</m:ctrlPr>
                </m:sSubSupPr>
                <m:e>
                  <m:r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CO</m:t>
                  </m:r>
                </m:e>
                <m:sub>
                  <m:r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2</m:t>
                  </m:r>
                </m:sub>
                <m:sup>
                  <m:r>
                    <w:rPr>
                      <w:rFonts w:ascii="Cambria Math" w:cs="Cambria Math" w:eastAsia="Cambria Math" w:hAnsi="Cambria Math"/>
                      <w:b w:val="0"/>
                      <w:i w:val="0"/>
                      <w:smallCaps w:val="0"/>
                      <w:strike w:val="0"/>
                      <w:color w:val="000000"/>
                      <w:sz w:val="20"/>
                      <w:szCs w:val="20"/>
                      <w:u w:val="none"/>
                      <w:shd w:fill="auto" w:val="clear"/>
                      <w:vertAlign w:val="baseline"/>
                    </w:rPr>
                    <m:t xml:space="preserve">-</m:t>
                  </m:r>
                </m:sup>
              </m:sSubSup>
            </m:oMath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(aq)    +     H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3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+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(aq)</w:t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État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Avancement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Quantités de matière (mol)</w:t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Initial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Excès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Final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–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f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·(1 – α)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Excès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f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=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·α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x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f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=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0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·α</w:t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Pour cette réaction, le coefficient de dissociation est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α = 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x</m:t>
            </m:r>
            <m:r>
              <w:rPr>
                <w:rFonts w:ascii="Cambria Math" w:cs="Cambria Math" w:eastAsia="Cambria Math" w:hAnsi="Cambria Math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f</m:t>
            </m:r>
          </m:num>
          <m:den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n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0</m:t>
                </m:r>
              </m:sub>
            </m:sSub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highlight w:val="yellow"/>
          <w:u w:val="none"/>
          <w:vertAlign w:val="baseline"/>
          <w:rtl w:val="0"/>
        </w:rPr>
        <w:t xml:space="preserve"> = </w:t>
      </w:r>
      <m:oMath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d>
              <m:dPr>
                <m:begChr m:val="["/>
                <m:endChr m:val="]"/>
              </m:dPr>
              <m:e>
                <m:sSub>
                  <m:sSubPr>
                    <m:ctrlP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Pr>
                  <m:e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CH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3</m:t>
                    </m:r>
                  </m:sub>
                </m:sSub>
                <m:sSubSup>
                  <m:sSub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SupPr>
                  <m:e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CO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2</m:t>
                    </m:r>
                  </m:sub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-</m:t>
                    </m:r>
                  </m:sup>
                </m:sSubSup>
              </m:e>
            </m: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f</m:t>
            </m:r>
          </m:num>
          <m:den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C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highlight w:val="yellow"/>
            <w:u w:val="none"/>
            <w:vertAlign w:val="baseline"/>
          </w:rPr>
          <m:t xml:space="preserve">= </m:t>
        </m:r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Pr>
                  <m:e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H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3</m:t>
                    </m:r>
                  </m:sub>
                </m:sSub>
                <m:sSup>
                  <m:s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p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O</m:t>
                    </m:r>
                  </m:e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+</m:t>
                    </m:r>
                  </m:sup>
                </m:sSup>
              </m:e>
            </m:d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f</m:t>
            </m:r>
          </m:num>
          <m:den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C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Conductivité molaire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conductivité σ d’une solution est une grandeur qui représente la capacité de cette solution à conduire le courant électrique. Elle s’exprime en siemens par mètre (S·m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-1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On peut écrire le coefficient de dissociation α en fonction de la conductivité de la solution et des conductivités molaires ioniques des ions présents :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4"/>
      <w:bookmarkEnd w:id="4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m:t>α</m:t>
        </m:r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highlight w:val="yellow"/>
            <w:u w:val="none"/>
            <w:vertAlign w:val="baseline"/>
          </w:rPr>
          <m:t xml:space="preserve"> = </m:t>
        </m:r>
        <m:f>
          <m:f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>σ</m:t>
            </m:r>
          </m:num>
          <m:den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10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3</m:t>
                </m:r>
              </m:sup>
            </m:s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·</m:t>
            </m:r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C</m:t>
            </m:r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·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 (</m:t>
            </m:r>
            <m:sSubSup>
              <m:sSub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b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>λ</m:t>
                </m:r>
              </m:e>
              <m:sub>
                <m:sSub>
                  <m:sSubPr>
                    <m:ctrlP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Pr>
                  <m:e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H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3</m:t>
                    </m:r>
                  </m:sub>
                </m:sSub>
                <m:sSup>
                  <m:sSupPr>
                    <m:ctrlP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pPr>
                  <m:e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O</m:t>
                    </m:r>
                  </m:e>
                  <m:sup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+</m:t>
                    </m:r>
                  </m:sup>
                </m:sSup>
              </m:sub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0</m:t>
                </m:r>
              </m:sup>
            </m:sSub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+</m:t>
            </m:r>
            <m:sSubSup>
              <m:sSub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b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>λ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C</m:t>
                </m:r>
                <m:sSub>
                  <m:sSubPr>
                    <m:ctrlP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Pr>
                  <m:e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H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3</m:t>
                    </m:r>
                  </m:sub>
                </m:sSub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C</m:t>
                </m:r>
                <m:sSubSup>
                  <m:sSubSup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SupPr>
                  <m:e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O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2</m:t>
                    </m:r>
                  </m:sub>
                  <m:sup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–</m:t>
                    </m:r>
                  </m:sup>
                </m:sSubSup>
              </m:sub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0</m:t>
                </m:r>
              </m:sup>
            </m:sSub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)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=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m:oMath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r>
              <m:t>σ</m:t>
            </m:r>
          </m:num>
          <m:den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10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3</m:t>
                </m:r>
              </m:sup>
            </m:sSup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C</m:t>
            </m:r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>∙</m:t>
            </m:r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B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avec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B = (</w:t>
      </w:r>
      <m:oMath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m:t>λ</m:t>
            </m:r>
          </m:e>
          <m:sub>
            <m:sSub>
              <m:sSub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H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3</m:t>
                </m:r>
              </m:sub>
            </m:sSub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O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+</m:t>
                </m:r>
              </m:sup>
            </m:sSup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0</m:t>
            </m:r>
          </m:sup>
        </m:sSubSup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+</m:t>
        </m:r>
        <m:sSubSup>
          <m:sSubSupPr>
            <m:ctrlP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>λ</m:t>
            </m:r>
          </m:e>
          <m: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C</m:t>
            </m:r>
            <m:sSub>
              <m:sSub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H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3</m:t>
                </m:r>
              </m:sub>
            </m:sSub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C</m:t>
            </m:r>
            <m:sSubSup>
              <m:sSub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O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2</m:t>
                </m:r>
              </m:sub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–</m:t>
                </m:r>
              </m:sup>
            </m:sSubSup>
          </m:sub>
          <m:sup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0</m:t>
            </m:r>
          </m:sup>
        </m:sSubSup>
        <m:r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tyjcwt" w:id="5"/>
      <w:bookmarkEnd w:id="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La mesure de la conductivité σ permet donc de déterminer la valeur du coefficient de dissociation α.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Constante d’acidité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 de la réaction étudiée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 constante d’équilibre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la réaction étudiée est :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=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m:oMath>
        <m:f>
          <m:num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bPr>
              <m:e>
                <m:d>
                  <m:dPr>
                    <m:begChr m:val="["/>
                    <m:endChr m:val="]"/>
                  </m:dPr>
                  <m:e>
                    <m:sSub>
                      <m:sSubPr>
                        <m:ctrlP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CH</m:t>
                        </m:r>
                      </m:e>
                      <m:sub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3</m:t>
                        </m:r>
                      </m:sub>
                    </m:sSub>
                    <m:sSubSup>
                      <m:sSubSup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</m:ctrlPr>
                      </m:sSubSupPr>
                      <m:e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CO</m:t>
                        </m:r>
                      </m:e>
                      <m:sub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2</m:t>
                        </m:r>
                      </m:sub>
                      <m:sup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-</m:t>
                        </m:r>
                      </m:sup>
                    </m:sSubSup>
                  </m:e>
                </m:d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éq</m:t>
                </m:r>
              </m:sub>
            </m:sSub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∙[</m:t>
                </m:r>
                <m:sSub>
                  <m:sSubPr>
                    <m:ctrlP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bPr>
                  <m:e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H</m:t>
                    </m:r>
                  </m:e>
                  <m:sub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3</m:t>
                    </m:r>
                  </m:sub>
                </m:sSub>
                <m:sSup>
                  <m:sSupPr>
                    <m:ctrlP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sSupPr>
                  <m:e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O</m:t>
                    </m:r>
                  </m:e>
                  <m:sup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+</m:t>
                    </m:r>
                  </m:sup>
                </m:s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]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éq</m:t>
                </m:r>
              </m:sub>
            </m:sSub>
          </m:num>
          <m:den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bPr>
              <m:e>
                <m:d>
                  <m:dPr>
                    <m:begChr m:val="["/>
                    <m:endChr m:val="]"/>
                    <m:ctrlP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CH</m:t>
                        </m:r>
                      </m:e>
                      <m:sub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3</m:t>
                        </m:r>
                      </m:sub>
                    </m:sSub>
                    <m:sSub>
                      <m:sSubPr>
                        <m:ctrlP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CO</m:t>
                        </m:r>
                      </m:e>
                      <m:sub>
                        <m:r>
                          <w:rPr>
                            <w:rFonts w:ascii="Arial" w:cs="Arial" w:eastAsia="Arial" w:hAnsi="Arial"/>
                            <w:b w:val="0"/>
                            <w:i w:val="1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2</m:t>
                        </m:r>
                      </m:sub>
                    </m:sSub>
                    <m:r>
                      <w:rPr>
                        <w:rFonts w:ascii="Arial" w:cs="Arial" w:eastAsia="Arial" w:hAnsi="Arial"/>
                        <w:b w:val="0"/>
                        <w:i w:val="1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  <m:t xml:space="preserve">H</m:t>
                    </m:r>
                  </m:e>
                </m:d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éq</m:t>
                </m:r>
              </m:sub>
            </m:sSub>
            <m:sSup>
              <m:sSup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>∙</m:t>
                </m:r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C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0</m:t>
                </m:r>
              </m:sup>
            </m:sSup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avec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= 1 mol·L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–1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À l’aide des relations précédentes, il est possible de montrer que 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=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C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m:oMath>
        <m:f>
          <m:num>
            <m:sSup>
              <m:s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d>
                  <m:dPr>
                    <m:begChr m:val="("/>
                    <m:endChr m:val=")"/>
                  </m:dPr>
                  <m:e>
                    <m:f>
                      <m:fPr>
                        <m:ctrlPr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</m:ctrlPr>
                      </m:fPr>
                      <m:num>
                        <m:r>
                          <m:t>σ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highlight w:val="yellow"/>
                                <w:u w:val="none"/>
                                <w:vertAlign w:val="baseline"/>
                              </w:rPr>
                            </m:ctrlPr>
                          </m:sSupPr>
                          <m:e>
                            <m:r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highlight w:val="yellow"/>
                                <w:u w:val="none"/>
                                <w:vertAlign w:val="baseline"/>
                              </w:rPr>
                              <m:t xml:space="preserve">10</m:t>
                            </m:r>
                          </m:e>
                          <m:sup>
                            <m:r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highlight w:val="yellow"/>
                                <w:u w:val="none"/>
                                <w:vertAlign w:val="baseline"/>
                              </w:rPr>
                              <m:t xml:space="preserve">3</m:t>
                            </m:r>
                          </m:sup>
                        </m:sSup>
                        <m:r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C·B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2</m:t>
                </m:r>
              </m:sup>
            </m:sSup>
          </m:num>
          <m:den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d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1</m:t>
                </m:r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–</m:t>
                </m:r>
                <m:d>
                  <m:dPr>
                    <m:begChr m:val="("/>
                    <m:endChr m:val=")"/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2"/>
                        <w:szCs w:val="22"/>
                        <w:highlight w:val="yellow"/>
                        <w:u w:val="none"/>
                        <w:vertAlign w:val="baseline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</m:ctrlPr>
                      </m:fPr>
                      <m:num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>σ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highlight w:val="yellow"/>
                                <w:u w:val="none"/>
                                <w:vertAlign w:val="baseline"/>
                              </w:rPr>
                            </m:ctrlPr>
                          </m:sSupPr>
                          <m:e>
                            <m:r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highlight w:val="yellow"/>
                                <w:u w:val="none"/>
                                <w:vertAlign w:val="baseline"/>
                              </w:rPr>
                              <m:t xml:space="preserve">10</m:t>
                            </m:r>
                          </m:e>
                          <m:sup>
                            <m:r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szCs w:val="22"/>
                                <w:highlight w:val="yellow"/>
                                <w:u w:val="none"/>
                                <w:vertAlign w:val="baseline"/>
                              </w:rPr>
                              <m:t xml:space="preserve">3</m:t>
                            </m:r>
                          </m:sup>
                        </m:sSup>
                        <m:r>
                          <w:rPr>
                            <w:rFonts w:ascii="Arial" w:cs="Arial" w:eastAsia="Arial" w:hAnsi="Arial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2"/>
                            <w:szCs w:val="22"/>
                            <w:highlight w:val="yellow"/>
                            <w:u w:val="none"/>
                            <w:vertAlign w:val="baseline"/>
                          </w:rPr>
                          <m:t xml:space="preserve">C·B</m:t>
                        </m:r>
                      </m:den>
                    </m:f>
                  </m:e>
                </m:d>
              </m:e>
            </m:d>
            <m:sSup>
              <m:sSup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·</m:t>
                </m:r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C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0</m:t>
                </m:r>
              </m:sup>
            </m:sSup>
          </m:den>
        </m:f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Cela donne :  </w:t>
      </w:r>
      <m:oMath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σ²</m:t>
            </m:r>
          </m:num>
          <m:den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10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6</m:t>
                </m:r>
              </m:sup>
            </m:sSup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C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=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·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·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C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superscript"/>
          <w:rtl w:val="0"/>
        </w:rPr>
        <w:t xml:space="preserve"> </w:t>
      </w:r>
      <m:oMath>
        <m:r>
          <m:t>∙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2"/>
            <w:szCs w:val="22"/>
            <w:highlight w:val="yellow"/>
            <w:u w:val="none"/>
            <w:vertAlign w:val="superscript"/>
          </w:rPr>
          <m:t xml:space="preserve"> </m:t>
        </m:r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superscript"/>
              </w:rPr>
              <m:t>σ</m:t>
            </m:r>
          </m:num>
          <m:den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10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2"/>
                    <w:szCs w:val="22"/>
                    <w:highlight w:val="yellow"/>
                    <w:u w:val="none"/>
                    <w:vertAlign w:val="baseline"/>
                  </w:rPr>
                  <m:t xml:space="preserve">3</m:t>
                </m:r>
              </m:sup>
            </m:sSup>
            <m:r>
              <w:rPr>
                <w:rFonts w:ascii="Cambria Math" w:cs="Cambria Math" w:eastAsia="Cambria Math" w:hAnsi="Cambria Math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·</m:t>
            </m:r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</w:rPr>
              <m:t xml:space="preserve">C</m:t>
            </m:r>
          </m:den>
        </m:f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+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highlight w:val="yellow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·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B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² ·C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Solutions d’acide éthanoïque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Les solutions mises à disposition sont les suivantes 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8"/>
          <w:szCs w:val="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0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1"/>
        <w:gridCol w:w="924"/>
        <w:gridCol w:w="923"/>
        <w:gridCol w:w="923"/>
        <w:gridCol w:w="1053"/>
        <w:gridCol w:w="937"/>
        <w:gridCol w:w="966"/>
        <w:gridCol w:w="1053"/>
        <w:gridCol w:w="1096"/>
        <w:tblGridChange w:id="0">
          <w:tblGrid>
            <w:gridCol w:w="2331"/>
            <w:gridCol w:w="924"/>
            <w:gridCol w:w="923"/>
            <w:gridCol w:w="923"/>
            <w:gridCol w:w="1053"/>
            <w:gridCol w:w="937"/>
            <w:gridCol w:w="966"/>
            <w:gridCol w:w="1053"/>
            <w:gridCol w:w="109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Solutions</w:t>
            </w:r>
          </w:p>
        </w:tc>
        <w:tc>
          <w:tcPr/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7</w:t>
            </w:r>
          </w:p>
        </w:tc>
        <w:tc>
          <w:tcPr/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bscript"/>
                <w:rtl w:val="0"/>
              </w:rPr>
              <w:t xml:space="preserve">8</w:t>
            </w:r>
          </w:p>
        </w:tc>
      </w:tr>
      <w:tr>
        <w:trPr>
          <w:cantSplit w:val="0"/>
          <w:trHeight w:val="606.68701171875" w:hRule="atLeast"/>
          <w:tblHeader w:val="0"/>
        </w:trPr>
        <w:tc>
          <w:tcPr/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Concentration apportée en acide éthanoïque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4"/>
                <w:szCs w:val="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(mol·L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superscript"/>
                <w:rtl w:val="0"/>
              </w:rPr>
              <w:t xml:space="preserve">–1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0,050</w:t>
            </w:r>
          </w:p>
        </w:tc>
        <w:tc>
          <w:tcPr/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0,025</w:t>
            </w:r>
          </w:p>
        </w:tc>
        <w:tc>
          <w:tcPr/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0,020</w:t>
            </w:r>
          </w:p>
        </w:tc>
        <w:tc>
          <w:tcPr/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0,0125</w:t>
            </w:r>
          </w:p>
        </w:tc>
        <w:tc>
          <w:tcPr/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0,010</w:t>
            </w:r>
          </w:p>
        </w:tc>
        <w:tc>
          <w:tcPr/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0,0050</w:t>
            </w:r>
          </w:p>
        </w:tc>
        <w:tc>
          <w:tcPr/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0,0010</w:t>
            </w:r>
          </w:p>
        </w:tc>
        <w:tc>
          <w:tcPr/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0,00050</w:t>
            </w:r>
          </w:p>
        </w:tc>
      </w:tr>
    </w:tbl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Données utiles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Conductivités molaires ioniques à dilution infinie à 25°C :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m:oMath>
        <m:sSubSup>
          <m:sSubSup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m:t>λ</m:t>
            </m:r>
          </m:e>
          <m:sub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H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3</m:t>
                </m:r>
              </m:sub>
            </m:sSub>
            <m:sSup>
              <m:sSup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O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+</m:t>
                </m:r>
              </m:sup>
            </m:sSup>
          </m:sub>
          <m:sup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0</m:t>
            </m:r>
          </m:sup>
        </m:sSubSup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= 35,0×10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S·m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·mol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; </w:t>
      </w:r>
      <m:oMath>
        <m:sSubSup>
          <m:sSubSup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</m:ctrlPr>
          </m:sSubSupPr>
          <m:e>
            <m:r>
              <m:t>λ</m:t>
            </m:r>
          </m:e>
          <m:sub>
            <m:sSub>
              <m:sSubPr>
                <m:ctrlP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CH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3</m:t>
                </m:r>
              </m:sub>
            </m:sSub>
            <m:sSubSup>
              <m:sSubSupPr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</m:ctrlPr>
              </m:sSubSupPr>
              <m:e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CO</m:t>
                </m:r>
              </m:e>
              <m:sub>
                <m:r>
                  <w:rPr>
                    <w:rFonts w:ascii="Arial" w:cs="Arial" w:eastAsia="Arial" w:hAnsi="Arial"/>
                    <w:b w:val="0"/>
                    <w:i w:val="1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2</m:t>
                </m:r>
              </m:sub>
              <m:sup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highlight w:val="yellow"/>
                    <w:u w:val="none"/>
                    <w:vertAlign w:val="baseline"/>
                  </w:rPr>
                  <m:t xml:space="preserve">-</m:t>
                </m:r>
              </m:sup>
            </m:sSubSup>
          </m:sub>
          <m:sup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highlight w:val="yellow"/>
                <w:u w:val="none"/>
                <w:vertAlign w:val="baseline"/>
              </w:rPr>
              <m:t xml:space="preserve">0</m:t>
            </m:r>
          </m:sup>
        </m:sSub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highlight w:val="yellow"/>
            <w:u w:val="none"/>
            <w:vertAlign w:val="baseline"/>
          </w:rPr>
          <m:t xml:space="preserve"> 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= 4,1×10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S·m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·mol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1 S/m = 10 mS/cm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;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Constante d’acidité de l’acide éthanoïque à 25°C 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highlight w:val="yellow"/>
          <w:u w:val="none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 = 1,8×10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superscript"/>
          <w:rtl w:val="0"/>
        </w:rPr>
        <w:t xml:space="preserve">–5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TRAVAIL À EFFECTUER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/>
      </w:pPr>
      <w:bookmarkStart w:colFirst="0" w:colLast="0" w:name="_heading=h.1t3h5sf" w:id="7"/>
      <w:bookmarkEnd w:id="7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Élaboration de la solution 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(10 minutes conseillées)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375" w:right="0" w:hanging="375"/>
        <w:jc w:val="both"/>
        <w:rPr/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Indiquer la verrerie à utiliser pour préparer un volume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 100 mL de la solution 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à partir d’un volume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= 20 mL de la solution 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pipette jaugée de 20mL (pour prélever la solution mère S6)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fiole jaugée de 100mL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left"/>
        <w:tblInd w:w="0.0" w:type="dxa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418"/>
        <w:gridCol w:w="6804"/>
        <w:gridCol w:w="1418"/>
        <w:tblGridChange w:id="0">
          <w:tblGrid>
            <w:gridCol w:w="1418"/>
            <w:gridCol w:w="6804"/>
            <w:gridCol w:w="14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FACULTATIF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bottom w:color="000000" w:space="0" w:sz="6" w:val="single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en cas de difficulté</w:t>
            </w:r>
          </w:p>
        </w:tc>
        <w:tc>
          <w:tcPr>
            <w:tcBorders>
              <w:top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1.2 Préparer la solution 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4d34og8" w:id="8"/>
      <w:bookmarkEnd w:id="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Résultats expérimentaux et loi d’Ostwald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(30 minutes conseillées)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2.1 Proposer un protocole permettant de tester la loi de dilution d’Ostwald.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Rappel de la loi : plus un acide faible est dilué dans l’eau, plus la valeur du coefficient de dissociation α augmente. Par conséquent, le comportement de cet acide faible se rapproche de plus en plus de celui d’un acide fort.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Réaliser un dosage par étalonnage conductimétrique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Mesure des conductivités des solutions étalons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Mesure de la conductivité de l’acide éthanoïque dilué 5 fois (cf partie 1)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Reporter les valeurs dans un tableur + Tracer la droite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m:oMath>
        <m:r>
          <m:t>σ</m:t>
        </m:r>
        <m:r>
          <w:rPr>
            <w:rFonts w:ascii="Cambria Math" w:cs="Cambria Math" w:eastAsia="Cambria Math" w:hAnsi="Cambria Math"/>
            <w:b w:val="0"/>
            <w:i w:val="1"/>
            <w:smallCaps w:val="0"/>
            <w:strike w:val="0"/>
            <w:color w:val="0070c0"/>
            <w:sz w:val="24"/>
            <w:szCs w:val="24"/>
            <w:u w:val="none"/>
            <w:shd w:fill="auto" w:val="clear"/>
            <w:vertAlign w:val="baseline"/>
          </w:rPr>
          <m:t xml:space="preserve"> = f(C)</m:t>
        </m:r>
      </m:oMath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on peut alors déterminer la concentration apportée de la solution d’acide éthanoïque diluée grâce à la droite.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720" w:right="0" w:hanging="36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Calculer </w:t>
      </w:r>
      <m:oMath>
        <m:r>
          <m:t>α</m:t>
        </m:r>
      </m:oMath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 via les résultats précédents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695"/>
        </w:tabs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2.2 Mettre en œuvre le protocole en utilisant un tableur pour effectuer les calculs.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Les résultats expérimentaux sont-ils en accord avec la loi d’Ostwald ? Justifier.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8"/>
        <w:gridCol w:w="6804"/>
        <w:gridCol w:w="1418"/>
        <w:tblGridChange w:id="0">
          <w:tblGrid>
            <w:gridCol w:w="1418"/>
            <w:gridCol w:w="6804"/>
            <w:gridCol w:w="14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facultatif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A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5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en cas de difficulté</w:t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3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2s8eyo1" w:id="9"/>
      <w:bookmarkEnd w:id="9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Détermination de la constante d’acidité de l’acide éthanoïque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(20 minutes conseillées)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3.1 À l’aide d’un tableur-grapheur, tracer le graphique </w:t>
      </w:r>
      <m:oMath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σ²</m:t>
            </m:r>
          </m:num>
          <m:den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10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6</m:t>
                </m:r>
              </m:sup>
            </m:sSup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C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= f (</w:t>
      </w:r>
      <m:oMath>
        <m:f>
          <m:fPr>
            <m:ctrlP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σ²</m:t>
            </m:r>
          </m:num>
          <m:den>
            <m:sSup>
              <m:sSupPr>
                <m:ctrlP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</m:ctrlPr>
              </m:sSupPr>
              <m:e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10</m:t>
                </m:r>
              </m:e>
              <m:sup>
                <m:r>
                  <w:rPr>
                    <w:rFonts w:ascii="Arial" w:cs="Arial" w:eastAsia="Arial" w:hAnsi="Arial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</w:rPr>
                  <m:t xml:space="preserve">6</m:t>
                </m:r>
              </m:sup>
            </m:sSup>
            <m:r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  <m:t xml:space="preserve">C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 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et effectuer une modélisation pertinente.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Noter les valeurs du coefficient directeur a et de l’ordonnée à l’origine b obtenus. On ne précisera pas les unités.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 = …………………………</w:t>
        <w:tab/>
        <w:tab/>
        <w:tab/>
        <w:tab/>
        <w:tab/>
        <w:t xml:space="preserve">b = ………………………....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3.2 À l’aide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  <w:rtl w:val="0"/>
        </w:rPr>
        <w:t xml:space="preserve">uniquement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 des valeurs de a et b et de l’information mise à disposition relative à la constante d’acidité, déterminer la valeur de la constante d’acidité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subscript"/>
          <w:rtl w:val="0"/>
        </w:rPr>
        <w:t xml:space="preserve">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l’acide éthanoïque.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ndara" w:cs="Candara" w:eastAsia="Candara" w:hAnsi="Candara"/>
          <w:b w:val="0"/>
          <w:i w:val="1"/>
          <w:smallCaps w:val="0"/>
          <w:strike w:val="0"/>
          <w:color w:val="0070c0"/>
          <w:sz w:val="24"/>
          <w:szCs w:val="24"/>
          <w:u w:val="none"/>
          <w:shd w:fill="auto" w:val="clear"/>
          <w:vertAlign w:val="baseline"/>
          <w:rtl w:val="0"/>
        </w:rPr>
        <w:t xml:space="preserve">Je ne vois pas trop comment faire si ce n’est exploiter la relation y = ax+ b…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40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8"/>
        <w:gridCol w:w="6804"/>
        <w:gridCol w:w="1418"/>
        <w:tblGridChange w:id="0">
          <w:tblGrid>
            <w:gridCol w:w="1418"/>
            <w:gridCol w:w="6804"/>
            <w:gridCol w:w="141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8" w:val="single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left w:color="000000" w:space="0" w:sz="0" w:val="nil"/>
              <w:righ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 n°2</w:t>
            </w:r>
          </w:p>
        </w:tc>
        <w:tc>
          <w:tcPr>
            <w:tcBorders>
              <w:top w:color="000000" w:space="0" w:sz="18" w:val="single"/>
              <w:left w:color="000000" w:space="0" w:sz="0" w:val="nil"/>
            </w:tcBorders>
            <w:shd w:fill="d9d9d9" w:val="clear"/>
            <w:vAlign w:val="center"/>
          </w:tcPr>
          <w:p w:rsidR="00000000" w:rsidDel="00000000" w:rsidP="00000000" w:rsidRDefault="00000000" w:rsidRPr="00000000" w14:paraId="000000B4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5">
            <w:pPr>
              <w:jc w:val="center"/>
              <w:rPr>
                <w:color w:val="000000"/>
                <w:sz w:val="96"/>
                <w:szCs w:val="96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64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Appeler le professeur pour lui présenter les résultats ou en cas de difficulté</w:t>
            </w:r>
          </w:p>
        </w:tc>
        <w:tc>
          <w:tcPr>
            <w:tcBorders>
              <w:bottom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B7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96"/>
                <w:szCs w:val="96"/>
                <w:rtl w:val="0"/>
              </w:rPr>
              <w:t xml:space="preserve">🖐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3.3 Comparer la valeur de la constante d’acidité trouvée à celle de la valeur tabulée à 25°C. Commenter.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….……………………………………………………………………………………………..……….………..………………..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…………………………………………………………………………………………………..……….………..………………..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Défaire le montage et ranger la paillasse avant de quitter la salle.</w:t>
      </w:r>
    </w:p>
    <w:sectPr>
      <w:headerReference r:id="rId11" w:type="default"/>
      <w:footerReference r:id="rId12" w:type="default"/>
      <w:pgSz w:h="16838" w:w="11906" w:orient="portrait"/>
      <w:pgMar w:bottom="851" w:top="851" w:left="851" w:right="851" w:header="851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cifico">
    <w:embedRegular w:fontKey="{00000000-0000-0000-0000-000000000000}" r:id="rId5" w:subsetted="0"/>
  </w:font>
  <w:font w:name="Candara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Wingdings"/>
  <w:font w:name="Noto Sans Symbols"/>
  <w:font w:name="Cambria Math">
    <w:embedRegular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64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sur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 </w:t>
      <w:tab/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LOI ET CONSTANTE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 xml:space="preserve">Session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ab/>
      <w:tab/>
      <w:tab/>
      <w:t xml:space="preserve">2022</w:t>
    </w:r>
  </w:p>
  <w:p w:rsidR="00000000" w:rsidDel="00000000" w:rsidP="00000000" w:rsidRDefault="00000000" w:rsidRPr="00000000" w14:paraId="000000C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851"/>
        <w:tab w:val="center" w:pos="5103"/>
        <w:tab w:val="center" w:pos="9498"/>
      </w:tabs>
      <w:spacing w:after="0" w:before="0" w:line="264" w:lineRule="auto"/>
      <w:ind w:left="0" w:right="0" w:firstLine="0"/>
      <w:jc w:val="both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4"/>
      <w:numFmt w:val="decimal"/>
      <w:lvlText w:val="%1.%2"/>
      <w:lvlJc w:val="left"/>
      <w:pPr>
        <w:ind w:left="360" w:hanging="360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"/>
      <w:lvlJc w:val="left"/>
      <w:pPr>
        <w:ind w:left="375" w:hanging="375"/>
      </w:pPr>
      <w:rPr/>
    </w:lvl>
    <w:lvl w:ilvl="1">
      <w:start w:val="1"/>
      <w:numFmt w:val="decimal"/>
      <w:lvlText w:val="%1.%2"/>
      <w:lvlJc w:val="left"/>
      <w:pPr>
        <w:ind w:left="375" w:hanging="375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720" w:hanging="720"/>
      </w:pPr>
      <w:rPr/>
    </w:lvl>
    <w:lvl w:ilvl="4">
      <w:start w:val="1"/>
      <w:numFmt w:val="decimal"/>
      <w:lvlText w:val="%1.%2.%3.%4.%5"/>
      <w:lvlJc w:val="left"/>
      <w:pPr>
        <w:ind w:left="1080" w:hanging="1080"/>
      </w:pPr>
      <w:rPr/>
    </w:lvl>
    <w:lvl w:ilvl="5">
      <w:start w:val="1"/>
      <w:numFmt w:val="decimal"/>
      <w:lvlText w:val="%1.%2.%3.%4.%5.%6"/>
      <w:lvlJc w:val="left"/>
      <w:pPr>
        <w:ind w:left="1080" w:hanging="1080"/>
      </w:pPr>
      <w:rPr/>
    </w:lvl>
    <w:lvl w:ilvl="6">
      <w:start w:val="1"/>
      <w:numFmt w:val="decimal"/>
      <w:lvlText w:val="%1.%2.%3.%4.%5.%6.%7"/>
      <w:lvlJc w:val="left"/>
      <w:pPr>
        <w:ind w:left="1440" w:hanging="1440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800" w:hanging="180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Candara" w:cs="Candara" w:eastAsia="Candara" w:hAnsi="Candara"/>
        <w:color w:val="0070c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-FR"/>
      </w:rPr>
    </w:rPrDefault>
    <w:pPrDefault>
      <w:pPr>
        <w:spacing w:line="264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Bdr>
        <w:top w:color="000000" w:space="1" w:sz="12" w:val="single"/>
        <w:left w:color="000000" w:space="1" w:sz="12" w:val="single"/>
        <w:bottom w:color="000000" w:space="1" w:sz="12" w:val="single"/>
        <w:right w:color="000000" w:space="1" w:sz="12" w:val="single"/>
      </w:pBdr>
      <w:shd w:fill="d9d9d9" w:val="clear"/>
      <w:tabs>
        <w:tab w:val="left" w:pos="-1985"/>
        <w:tab w:val="left" w:pos="567"/>
      </w:tabs>
      <w:ind w:left="0" w:firstLine="0"/>
      <w:jc w:val="center"/>
    </w:pPr>
    <w:rPr>
      <w:b w:val="1"/>
    </w:rPr>
  </w:style>
  <w:style w:type="paragraph" w:styleId="Heading2">
    <w:name w:val="heading 2"/>
    <w:basedOn w:val="Normal"/>
    <w:next w:val="Normal"/>
    <w:pPr>
      <w:keepNext w:val="1"/>
      <w:ind w:left="567" w:hanging="567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418" w:hanging="850"/>
    </w:pPr>
    <w:rPr/>
  </w:style>
  <w:style w:type="paragraph" w:styleId="Heading4">
    <w:name w:val="heading 4"/>
    <w:basedOn w:val="Normal"/>
    <w:next w:val="Normal"/>
    <w:pPr>
      <w:ind w:left="2211" w:hanging="1131"/>
    </w:pPr>
    <w:rPr/>
  </w:style>
  <w:style w:type="paragraph" w:styleId="Heading5">
    <w:name w:val="heading 5"/>
    <w:basedOn w:val="Normal"/>
    <w:next w:val="Normal"/>
    <w:pPr>
      <w:keepNext w:val="1"/>
      <w:tabs>
        <w:tab w:val="left" w:pos="-1985"/>
      </w:tabs>
    </w:pPr>
    <w:rPr>
      <w:rFonts w:ascii="Garamond" w:cs="Garamond" w:eastAsia="Garamond" w:hAnsi="Garamond"/>
      <w:b w:val="1"/>
    </w:rPr>
  </w:style>
  <w:style w:type="paragraph" w:styleId="Heading6">
    <w:name w:val="heading 6"/>
    <w:basedOn w:val="Normal"/>
    <w:next w:val="Normal"/>
    <w:pPr>
      <w:keepNext w:val="1"/>
      <w:ind w:right="-2472"/>
    </w:pPr>
    <w:rPr>
      <w:i w:val="1"/>
      <w:color w:val="ff000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56DD6"/>
    <w:pPr>
      <w:spacing w:line="264" w:lineRule="auto"/>
      <w:jc w:val="both"/>
    </w:pPr>
    <w:rPr>
      <w:rFonts w:ascii="Arial" w:cs="Arial" w:hAnsi="Arial"/>
      <w:color w:val="000000"/>
    </w:rPr>
  </w:style>
  <w:style w:type="paragraph" w:styleId="Titre1">
    <w:name w:val="heading 1"/>
    <w:basedOn w:val="Normal"/>
    <w:next w:val="Normal"/>
    <w:rsid w:val="00D9409B"/>
    <w:pPr>
      <w:numPr>
        <w:numId w:val="1"/>
      </w:numPr>
      <w:pBdr>
        <w:top w:color="auto" w:space="1" w:sz="12" w:val="single"/>
        <w:left w:color="auto" w:space="1" w:sz="12" w:val="single"/>
        <w:bottom w:color="auto" w:space="1" w:sz="12" w:val="single"/>
        <w:right w:color="auto" w:space="1" w:sz="12" w:val="single"/>
      </w:pBdr>
      <w:shd w:color="auto" w:fill="ffffff" w:val="pct15"/>
      <w:tabs>
        <w:tab w:val="left" w:pos="-1985"/>
        <w:tab w:val="left" w:pos="567"/>
      </w:tabs>
      <w:autoSpaceDE w:val="0"/>
      <w:autoSpaceDN w:val="0"/>
      <w:jc w:val="center"/>
      <w:outlineLvl w:val="0"/>
    </w:pPr>
    <w:rPr>
      <w:b w:val="1"/>
      <w:bCs w:val="1"/>
    </w:rPr>
  </w:style>
  <w:style w:type="paragraph" w:styleId="Titre2">
    <w:name w:val="heading 2"/>
    <w:basedOn w:val="Normal"/>
    <w:next w:val="Normal"/>
    <w:link w:val="Titre2Car"/>
    <w:rsid w:val="00207C64"/>
    <w:pPr>
      <w:keepNext w:val="1"/>
      <w:numPr>
        <w:ilvl w:val="1"/>
        <w:numId w:val="1"/>
      </w:numPr>
      <w:outlineLvl w:val="1"/>
    </w:pPr>
    <w:rPr>
      <w:b w:val="1"/>
    </w:rPr>
  </w:style>
  <w:style w:type="paragraph" w:styleId="Titre3">
    <w:name w:val="heading 3"/>
    <w:basedOn w:val="Normal"/>
    <w:next w:val="Titre4"/>
    <w:rsid w:val="00125FB0"/>
    <w:pPr>
      <w:keepNext w:val="1"/>
      <w:numPr>
        <w:ilvl w:val="2"/>
        <w:numId w:val="1"/>
      </w:numPr>
      <w:outlineLvl w:val="2"/>
    </w:pPr>
  </w:style>
  <w:style w:type="paragraph" w:styleId="Titre4">
    <w:name w:val="heading 4"/>
    <w:basedOn w:val="Normal"/>
    <w:next w:val="Normal"/>
    <w:autoRedefine w:val="1"/>
    <w:rsid w:val="00354EBD"/>
    <w:pPr>
      <w:numPr>
        <w:ilvl w:val="3"/>
        <w:numId w:val="1"/>
      </w:numPr>
      <w:outlineLvl w:val="3"/>
    </w:pPr>
  </w:style>
  <w:style w:type="paragraph" w:styleId="Titre5">
    <w:name w:val="heading 5"/>
    <w:basedOn w:val="Normal"/>
    <w:next w:val="Normal"/>
    <w:rsid w:val="001D6C11"/>
    <w:pPr>
      <w:keepNext w:val="1"/>
      <w:tabs>
        <w:tab w:val="left" w:pos="-1985"/>
      </w:tabs>
      <w:autoSpaceDE w:val="0"/>
      <w:autoSpaceDN w:val="0"/>
      <w:outlineLvl w:val="4"/>
    </w:pPr>
    <w:rPr>
      <w:rFonts w:ascii="Garamond" w:hAnsi="Garamond"/>
      <w:b w:val="1"/>
      <w:bCs w:val="1"/>
    </w:rPr>
  </w:style>
  <w:style w:type="paragraph" w:styleId="Titre6">
    <w:name w:val="heading 6"/>
    <w:basedOn w:val="Normal"/>
    <w:next w:val="Normal"/>
    <w:rsid w:val="001D6C11"/>
    <w:pPr>
      <w:keepNext w:val="1"/>
      <w:ind w:right="-2472"/>
      <w:outlineLvl w:val="5"/>
    </w:pPr>
    <w:rPr>
      <w:i w:val="1"/>
      <w:color w:val="ff0000"/>
    </w:rPr>
  </w:style>
  <w:style w:type="paragraph" w:styleId="Titre7">
    <w:name w:val="heading 7"/>
    <w:basedOn w:val="Normal"/>
    <w:next w:val="Normal"/>
    <w:rsid w:val="001D6C11"/>
    <w:pPr>
      <w:keepNext w:val="1"/>
      <w:tabs>
        <w:tab w:val="left" w:pos="-1985"/>
      </w:tabs>
      <w:autoSpaceDE w:val="0"/>
      <w:autoSpaceDN w:val="0"/>
      <w:jc w:val="center"/>
      <w:outlineLvl w:val="6"/>
    </w:pPr>
    <w:rPr>
      <w:b w:val="1"/>
      <w:bCs w:val="1"/>
      <w:sz w:val="28"/>
      <w:szCs w:val="28"/>
    </w:rPr>
  </w:style>
  <w:style w:type="paragraph" w:styleId="Titre8">
    <w:name w:val="heading 8"/>
    <w:basedOn w:val="Normal"/>
    <w:next w:val="Normal"/>
    <w:rsid w:val="001D6C11"/>
    <w:pPr>
      <w:keepNext w:val="1"/>
      <w:tabs>
        <w:tab w:val="left" w:pos="-1985"/>
      </w:tabs>
      <w:autoSpaceDE w:val="0"/>
      <w:autoSpaceDN w:val="0"/>
      <w:ind w:left="-567" w:right="-483"/>
      <w:outlineLvl w:val="7"/>
    </w:pPr>
    <w:rPr>
      <w:b w:val="1"/>
      <w:bCs w:val="1"/>
      <w:sz w:val="28"/>
      <w:szCs w:val="28"/>
    </w:rPr>
  </w:style>
  <w:style w:type="paragraph" w:styleId="Titre9">
    <w:name w:val="heading 9"/>
    <w:basedOn w:val="Normal"/>
    <w:next w:val="Normal"/>
    <w:rsid w:val="001D6C11"/>
    <w:pPr>
      <w:keepNext w:val="1"/>
      <w:outlineLvl w:val="8"/>
    </w:pPr>
    <w:rPr>
      <w:b w:val="1"/>
    </w:rPr>
  </w:style>
  <w:style w:type="character" w:styleId="Policepardfaut" w:default="1">
    <w:name w:val="Default Paragraph Font"/>
    <w:uiPriority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ECErepres" w:customStyle="1">
    <w:name w:val="ECErepères"/>
    <w:basedOn w:val="ECEcorps"/>
    <w:qFormat w:val="1"/>
    <w:rsid w:val="00197F7D"/>
    <w:pPr>
      <w:jc w:val="center"/>
    </w:pPr>
    <w:rPr>
      <w:sz w:val="18"/>
      <w:szCs w:val="18"/>
    </w:rPr>
  </w:style>
  <w:style w:type="paragraph" w:styleId="ECEappel" w:customStyle="1">
    <w:name w:val="ECEappel"/>
    <w:basedOn w:val="ECEcorps"/>
    <w:qFormat w:val="1"/>
    <w:rsid w:val="00FB14E2"/>
    <w:pPr>
      <w:framePr w:lines="0" w:hSpace="141" w:wrap="around" w:hAnchor="margin" w:vAnchor="text" w:xAlign="center" w:y="98"/>
      <w:jc w:val="center"/>
    </w:pPr>
    <w:rPr>
      <w:rFonts w:eastAsia="Arial Unicode MS"/>
      <w:b w:val="1"/>
    </w:rPr>
  </w:style>
  <w:style w:type="paragraph" w:styleId="Retraitnormal">
    <w:name w:val="Normal Indent"/>
    <w:basedOn w:val="Normal"/>
    <w:rsid w:val="001D6C11"/>
    <w:pPr>
      <w:tabs>
        <w:tab w:val="left" w:pos="-1985"/>
      </w:tabs>
      <w:autoSpaceDE w:val="0"/>
      <w:autoSpaceDN w:val="0"/>
      <w:ind w:left="708"/>
    </w:pPr>
  </w:style>
  <w:style w:type="paragraph" w:styleId="Pieddepage">
    <w:name w:val="footer"/>
    <w:basedOn w:val="Normal"/>
    <w:rsid w:val="001D6C11"/>
    <w:pPr>
      <w:tabs>
        <w:tab w:val="left" w:pos="-1985"/>
        <w:tab w:val="center" w:pos="4536"/>
        <w:tab w:val="right" w:pos="9072"/>
      </w:tabs>
      <w:autoSpaceDE w:val="0"/>
      <w:autoSpaceDN w:val="0"/>
    </w:pPr>
    <w:rPr>
      <w:sz w:val="22"/>
      <w:szCs w:val="22"/>
    </w:rPr>
  </w:style>
  <w:style w:type="paragraph" w:styleId="remarque" w:customStyle="1">
    <w:name w:val="remarque"/>
    <w:basedOn w:val="Normal"/>
    <w:rsid w:val="001D6C11"/>
    <w:pPr>
      <w:tabs>
        <w:tab w:val="left" w:pos="-1985"/>
      </w:tabs>
      <w:autoSpaceDE w:val="0"/>
      <w:autoSpaceDN w:val="0"/>
    </w:pPr>
    <w:rPr>
      <w:b w:val="1"/>
      <w:bCs w:val="1"/>
    </w:rPr>
  </w:style>
  <w:style w:type="paragraph" w:styleId="Retraitcorpsdetexte">
    <w:name w:val="Body Text Indent"/>
    <w:basedOn w:val="Normal"/>
    <w:rsid w:val="001D6C11"/>
    <w:pPr>
      <w:tabs>
        <w:tab w:val="left" w:pos="-1985"/>
      </w:tabs>
      <w:autoSpaceDE w:val="0"/>
      <w:autoSpaceDN w:val="0"/>
      <w:ind w:firstLine="426"/>
    </w:pPr>
    <w:rPr>
      <w:sz w:val="22"/>
      <w:szCs w:val="22"/>
    </w:rPr>
  </w:style>
  <w:style w:type="paragraph" w:styleId="En-tte">
    <w:name w:val="header"/>
    <w:basedOn w:val="Normal"/>
    <w:rsid w:val="001D6C11"/>
    <w:pPr>
      <w:framePr w:lines="0" w:hSpace="142" w:wrap="auto" w:hAnchor="text" w:vAnchor="text" w:y="1"/>
      <w:tabs>
        <w:tab w:val="left" w:pos="-1985"/>
        <w:tab w:val="center" w:pos="4536"/>
        <w:tab w:val="right" w:pos="9072"/>
      </w:tabs>
      <w:autoSpaceDE w:val="0"/>
      <w:autoSpaceDN w:val="0"/>
    </w:pPr>
  </w:style>
  <w:style w:type="paragraph" w:styleId="Notedebasdepage">
    <w:name w:val="footnote text"/>
    <w:basedOn w:val="Normal"/>
    <w:semiHidden w:val="1"/>
    <w:rsid w:val="001D6C11"/>
  </w:style>
  <w:style w:type="paragraph" w:styleId="Sous-titre">
    <w:name w:val="Subtitle"/>
    <w:basedOn w:val="Normal"/>
    <w:rsid w:val="001D6C11"/>
    <w:pPr>
      <w:jc w:val="center"/>
    </w:pPr>
    <w:rPr>
      <w:b w:val="1"/>
      <w:i w:val="1"/>
      <w:sz w:val="28"/>
    </w:rPr>
  </w:style>
  <w:style w:type="character" w:styleId="Marquedecommentaire">
    <w:name w:val="annotation reference"/>
    <w:semiHidden w:val="1"/>
    <w:rsid w:val="001D6C11"/>
    <w:rPr>
      <w:sz w:val="16"/>
      <w:szCs w:val="16"/>
    </w:rPr>
  </w:style>
  <w:style w:type="paragraph" w:styleId="Commentaire">
    <w:name w:val="annotation text"/>
    <w:basedOn w:val="Normal"/>
    <w:semiHidden w:val="1"/>
    <w:rsid w:val="001D6C11"/>
  </w:style>
  <w:style w:type="paragraph" w:styleId="Objetducommentaire">
    <w:name w:val="annotation subject"/>
    <w:basedOn w:val="Commentaire"/>
    <w:next w:val="Commentaire"/>
    <w:semiHidden w:val="1"/>
    <w:rsid w:val="001D6C11"/>
    <w:rPr>
      <w:b w:val="1"/>
      <w:bCs w:val="1"/>
    </w:rPr>
  </w:style>
  <w:style w:type="paragraph" w:styleId="Textedebulles">
    <w:name w:val="Balloon Text"/>
    <w:basedOn w:val="Normal"/>
    <w:rsid w:val="001D6C11"/>
    <w:rPr>
      <w:rFonts w:ascii="Tahoma" w:cs="Tahoma" w:hAnsi="Tahoma"/>
      <w:sz w:val="16"/>
      <w:szCs w:val="16"/>
    </w:rPr>
  </w:style>
  <w:style w:type="table" w:styleId="Grilledutableau">
    <w:name w:val="Table Grid"/>
    <w:basedOn w:val="TableauNormal"/>
    <w:uiPriority w:val="39"/>
    <w:rsid w:val="003A0429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M1">
    <w:name w:val="toc 1"/>
    <w:aliases w:val="ECEsomm1"/>
    <w:basedOn w:val="ECEcorps"/>
    <w:next w:val="Normal"/>
    <w:uiPriority w:val="39"/>
    <w:qFormat w:val="1"/>
    <w:rsid w:val="00CA6FD0"/>
    <w:pPr>
      <w:tabs>
        <w:tab w:val="left" w:pos="284"/>
        <w:tab w:val="right" w:leader="dot" w:pos="9628"/>
      </w:tabs>
    </w:pPr>
  </w:style>
  <w:style w:type="paragraph" w:styleId="TM2">
    <w:name w:val="toc 2"/>
    <w:aliases w:val="ECEsomm2"/>
    <w:basedOn w:val="Normal"/>
    <w:next w:val="Normal"/>
    <w:uiPriority w:val="39"/>
    <w:unhideWhenUsed w:val="1"/>
    <w:qFormat w:val="1"/>
    <w:rsid w:val="00910B6F"/>
    <w:pPr>
      <w:tabs>
        <w:tab w:val="right" w:leader="dot" w:pos="9628"/>
      </w:tabs>
      <w:spacing w:after="100" w:line="276" w:lineRule="auto"/>
      <w:ind w:left="221"/>
    </w:pPr>
    <w:rPr>
      <w:noProof w:val="1"/>
      <w:color w:val="auto"/>
      <w:lang w:eastAsia="en-US"/>
    </w:rPr>
  </w:style>
  <w:style w:type="paragraph" w:styleId="TM3">
    <w:name w:val="toc 3"/>
    <w:basedOn w:val="Normal"/>
    <w:next w:val="Normal"/>
    <w:autoRedefine w:val="1"/>
    <w:uiPriority w:val="39"/>
    <w:unhideWhenUsed w:val="1"/>
    <w:rsid w:val="00A20F44"/>
    <w:pPr>
      <w:tabs>
        <w:tab w:val="right" w:leader="dot" w:pos="9628"/>
      </w:tabs>
      <w:spacing w:after="100" w:line="276" w:lineRule="auto"/>
      <w:ind w:left="442"/>
    </w:pPr>
    <w:rPr>
      <w:rFonts w:ascii="Calibri" w:cs="Times New Roman" w:hAnsi="Calibri"/>
      <w:color w:val="auto"/>
      <w:sz w:val="22"/>
      <w:szCs w:val="22"/>
      <w:lang w:eastAsia="en-US"/>
    </w:rPr>
  </w:style>
  <w:style w:type="paragraph" w:styleId="StyleGrasCentrMotifTransparenteArrire-plan2" w:customStyle="1">
    <w:name w:val="Style Gras Centré Motif : Transparente (Arrière-plan 2)"/>
    <w:basedOn w:val="Normal"/>
    <w:rsid w:val="00B97EB7"/>
    <w:pPr>
      <w:shd w:color="auto" w:fill="eeece1" w:val="clear"/>
      <w:jc w:val="center"/>
    </w:pPr>
    <w:rPr>
      <w:rFonts w:cs="Times New Roman"/>
      <w:b w:val="1"/>
      <w:bCs w:val="1"/>
    </w:rPr>
  </w:style>
  <w:style w:type="paragraph" w:styleId="Default" w:customStyle="1">
    <w:name w:val="Default"/>
    <w:uiPriority w:val="99"/>
    <w:rsid w:val="00BF76AC"/>
    <w:pPr>
      <w:autoSpaceDE w:val="0"/>
      <w:autoSpaceDN w:val="0"/>
      <w:adjustRightInd w:val="0"/>
    </w:pPr>
    <w:rPr>
      <w:rFonts w:ascii="Calibri" w:cs="Calibri" w:eastAsia="MS ??" w:hAnsi="Calibri"/>
      <w:color w:val="000000"/>
      <w:sz w:val="24"/>
      <w:szCs w:val="24"/>
    </w:rPr>
  </w:style>
  <w:style w:type="character" w:styleId="Titre2Car" w:customStyle="1">
    <w:name w:val="Titre 2 Car"/>
    <w:link w:val="Titre2"/>
    <w:rsid w:val="00BF76AC"/>
    <w:rPr>
      <w:rFonts w:ascii="Arial" w:cs="Arial" w:hAnsi="Arial"/>
      <w:b w:val="1"/>
      <w:color w:val="000000"/>
    </w:rPr>
  </w:style>
  <w:style w:type="paragraph" w:styleId="ECEcorps" w:customStyle="1">
    <w:name w:val="ECEcorps"/>
    <w:qFormat w:val="1"/>
    <w:rsid w:val="00C06213"/>
    <w:pPr>
      <w:spacing w:line="264" w:lineRule="auto"/>
      <w:jc w:val="both"/>
    </w:pPr>
    <w:rPr>
      <w:rFonts w:ascii="Arial" w:cs="Arial" w:hAnsi="Arial"/>
    </w:rPr>
  </w:style>
  <w:style w:type="paragraph" w:styleId="ECEtitre" w:customStyle="1">
    <w:name w:val="ECEtitre"/>
    <w:basedOn w:val="ECEcorps"/>
    <w:next w:val="ECEcorps"/>
    <w:qFormat w:val="1"/>
    <w:rsid w:val="00E2460E"/>
    <w:pPr>
      <w:autoSpaceDE w:val="0"/>
      <w:autoSpaceDN w:val="0"/>
      <w:adjustRightInd w:val="0"/>
    </w:pPr>
    <w:rPr>
      <w:b w:val="1"/>
      <w:u w:val="single"/>
    </w:rPr>
  </w:style>
  <w:style w:type="paragraph" w:styleId="ECEfiche" w:customStyle="1">
    <w:name w:val="ECEfiche"/>
    <w:basedOn w:val="Titre1"/>
    <w:next w:val="ECEcorps"/>
    <w:qFormat w:val="1"/>
    <w:rsid w:val="00A12834"/>
    <w:pPr>
      <w:numPr>
        <w:numId w:val="0"/>
      </w:numPr>
    </w:pPr>
    <w:rPr>
      <w:b w:val="0"/>
    </w:rPr>
  </w:style>
  <w:style w:type="paragraph" w:styleId="ECErponse" w:customStyle="1">
    <w:name w:val="ECEréponse"/>
    <w:basedOn w:val="ECEcorps"/>
    <w:qFormat w:val="1"/>
    <w:rsid w:val="00C22A4C"/>
    <w:pPr>
      <w:autoSpaceDE w:val="0"/>
      <w:autoSpaceDN w:val="0"/>
      <w:adjustRightInd w:val="0"/>
      <w:spacing w:before="240" w:line="240" w:lineRule="auto"/>
    </w:pPr>
    <w:rPr>
      <w:bCs w:val="1"/>
      <w:szCs w:val="22"/>
    </w:rPr>
  </w:style>
  <w:style w:type="paragraph" w:styleId="ECEpartie" w:customStyle="1">
    <w:name w:val="ECEpartie"/>
    <w:basedOn w:val="ECEcorps"/>
    <w:next w:val="ECEcorps"/>
    <w:qFormat w:val="1"/>
    <w:rsid w:val="00452138"/>
    <w:pPr>
      <w:numPr>
        <w:numId w:val="4"/>
      </w:numPr>
    </w:pPr>
    <w:rPr>
      <w:b w:val="1"/>
    </w:rPr>
  </w:style>
  <w:style w:type="paragraph" w:styleId="ECEcoeff" w:customStyle="1">
    <w:name w:val="ECEcoeff"/>
    <w:basedOn w:val="ECEcorps"/>
    <w:next w:val="ECEcorps"/>
    <w:qFormat w:val="1"/>
    <w:rsid w:val="0003345D"/>
    <w:rPr>
      <w:b w:val="1"/>
      <w:sz w:val="22"/>
      <w:szCs w:val="22"/>
    </w:rPr>
  </w:style>
  <w:style w:type="paragraph" w:styleId="ECEbordure" w:customStyle="1">
    <w:name w:val="ECEbordure"/>
    <w:basedOn w:val="ECEcorps"/>
    <w:qFormat w:val="1"/>
    <w:rsid w:val="00180BB9"/>
    <w:pPr>
      <w:pBdr>
        <w:top w:color="auto" w:space="1" w:sz="12" w:val="single"/>
        <w:left w:color="auto" w:space="4" w:sz="12" w:val="single"/>
        <w:bottom w:color="auto" w:space="1" w:sz="12" w:val="single"/>
        <w:right w:color="auto" w:space="4" w:sz="12" w:val="single"/>
      </w:pBdr>
      <w:ind w:left="284" w:right="281"/>
    </w:pPr>
  </w:style>
  <w:style w:type="paragraph" w:styleId="ECEsommaire" w:customStyle="1">
    <w:name w:val="ECEsommaire"/>
    <w:basedOn w:val="ECEcorps"/>
    <w:qFormat w:val="1"/>
    <w:rsid w:val="0060508C"/>
    <w:pPr>
      <w:jc w:val="center"/>
    </w:pPr>
    <w:rPr>
      <w:b w:val="1"/>
      <w:sz w:val="24"/>
      <w:szCs w:val="24"/>
    </w:rPr>
  </w:style>
  <w:style w:type="paragraph" w:styleId="ECEpuce1" w:customStyle="1">
    <w:name w:val="ECEpuce1"/>
    <w:basedOn w:val="ECEcorps"/>
    <w:qFormat w:val="1"/>
    <w:rsid w:val="0060508C"/>
    <w:pPr>
      <w:numPr>
        <w:numId w:val="2"/>
      </w:numPr>
    </w:pPr>
    <w:rPr>
      <w:rFonts w:eastAsia="Arial Unicode MS"/>
      <w:bCs w:val="1"/>
      <w:iCs w:val="1"/>
    </w:rPr>
  </w:style>
  <w:style w:type="paragraph" w:styleId="ECEpuce2" w:customStyle="1">
    <w:name w:val="ECEpuce2"/>
    <w:basedOn w:val="ECEcorps"/>
    <w:qFormat w:val="1"/>
    <w:rsid w:val="0060508C"/>
    <w:pPr>
      <w:numPr>
        <w:ilvl w:val="2"/>
        <w:numId w:val="2"/>
      </w:numPr>
      <w:ind w:left="1491" w:hanging="357"/>
    </w:pPr>
    <w:rPr>
      <w:rFonts w:eastAsia="Arial Unicode MS"/>
      <w:bCs w:val="1"/>
      <w:iCs w:val="1"/>
    </w:rPr>
  </w:style>
  <w:style w:type="paragraph" w:styleId="TM4">
    <w:name w:val="toc 4"/>
    <w:basedOn w:val="Normal"/>
    <w:next w:val="Normal"/>
    <w:autoRedefine w:val="1"/>
    <w:uiPriority w:val="39"/>
    <w:unhideWhenUsed w:val="1"/>
    <w:rsid w:val="00943326"/>
    <w:pPr>
      <w:ind w:left="600"/>
    </w:pPr>
  </w:style>
  <w:style w:type="paragraph" w:styleId="TM5">
    <w:name w:val="toc 5"/>
    <w:basedOn w:val="Normal"/>
    <w:next w:val="Normal"/>
    <w:autoRedefine w:val="1"/>
    <w:uiPriority w:val="39"/>
    <w:unhideWhenUsed w:val="1"/>
    <w:rsid w:val="00943326"/>
    <w:pPr>
      <w:ind w:left="800"/>
    </w:pPr>
  </w:style>
  <w:style w:type="paragraph" w:styleId="TM6">
    <w:name w:val="toc 6"/>
    <w:basedOn w:val="Normal"/>
    <w:next w:val="Normal"/>
    <w:autoRedefine w:val="1"/>
    <w:uiPriority w:val="39"/>
    <w:unhideWhenUsed w:val="1"/>
    <w:rsid w:val="00943326"/>
    <w:pPr>
      <w:ind w:left="1000"/>
    </w:pPr>
  </w:style>
  <w:style w:type="paragraph" w:styleId="TM7">
    <w:name w:val="toc 7"/>
    <w:basedOn w:val="Normal"/>
    <w:next w:val="Normal"/>
    <w:autoRedefine w:val="1"/>
    <w:uiPriority w:val="39"/>
    <w:unhideWhenUsed w:val="1"/>
    <w:rsid w:val="00943326"/>
    <w:pPr>
      <w:ind w:left="1200"/>
    </w:pPr>
  </w:style>
  <w:style w:type="paragraph" w:styleId="TM8">
    <w:name w:val="toc 8"/>
    <w:basedOn w:val="Normal"/>
    <w:next w:val="Normal"/>
    <w:autoRedefine w:val="1"/>
    <w:uiPriority w:val="39"/>
    <w:unhideWhenUsed w:val="1"/>
    <w:rsid w:val="00943326"/>
    <w:pPr>
      <w:ind w:left="1400"/>
    </w:pPr>
  </w:style>
  <w:style w:type="paragraph" w:styleId="TM9">
    <w:name w:val="toc 9"/>
    <w:basedOn w:val="Normal"/>
    <w:next w:val="Normal"/>
    <w:autoRedefine w:val="1"/>
    <w:uiPriority w:val="39"/>
    <w:unhideWhenUsed w:val="1"/>
    <w:rsid w:val="00943326"/>
    <w:pPr>
      <w:ind w:left="1600"/>
    </w:pPr>
  </w:style>
  <w:style w:type="character" w:styleId="Textedelespacerserv">
    <w:name w:val="Placeholder Text"/>
    <w:basedOn w:val="Policepardfaut"/>
    <w:uiPriority w:val="99"/>
    <w:semiHidden w:val="1"/>
    <w:rsid w:val="00F76CB7"/>
    <w:rPr>
      <w:color w:val="808080"/>
    </w:rPr>
  </w:style>
  <w:style w:type="character" w:styleId="Lienhypertexte">
    <w:name w:val="Hyperlink"/>
    <w:basedOn w:val="Policepardfaut"/>
    <w:uiPriority w:val="99"/>
    <w:semiHidden w:val="1"/>
    <w:unhideWhenUsed w:val="1"/>
    <w:rsid w:val="004D0224"/>
    <w:rPr>
      <w:color w:val="0000ff"/>
      <w:u w:val="single"/>
    </w:rPr>
  </w:style>
  <w:style w:type="character" w:styleId="citation" w:customStyle="1">
    <w:name w:val="citation"/>
    <w:basedOn w:val="Policepardfaut"/>
    <w:rsid w:val="004D0224"/>
  </w:style>
  <w:style w:type="paragraph" w:styleId="Subtitle">
    <w:name w:val="Subtitle"/>
    <w:basedOn w:val="Normal"/>
    <w:next w:val="Normal"/>
    <w:pPr>
      <w:jc w:val="center"/>
    </w:pPr>
    <w:rPr>
      <w:b w:val="1"/>
      <w:i w:val="1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57.0" w:type="dxa"/>
        <w:left w:w="57.0" w:type="dxa"/>
        <w:bottom w:w="57.0" w:type="dxa"/>
        <w:right w:w="57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https://fr.wikipedia.org/wiki/Cin%C3%A9tique_chimique" TargetMode="External"/><Relationship Id="rId12" Type="http://schemas.openxmlformats.org/officeDocument/2006/relationships/footer" Target="footer1.xml"/><Relationship Id="rId9" Type="http://schemas.openxmlformats.org/officeDocument/2006/relationships/hyperlink" Target="https://fr.wikipedia.org/wiki/%C3%89quilibre_chimiqu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r.wikipedia.org/wiki/Prix_Nobel_de_chimie" TargetMode="External"/><Relationship Id="rId8" Type="http://schemas.openxmlformats.org/officeDocument/2006/relationships/hyperlink" Target="https://fr.wikipedia.org/wiki/Catalyse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ambriaMath-regular.ttf"/><Relationship Id="rId9" Type="http://schemas.openxmlformats.org/officeDocument/2006/relationships/font" Target="fonts/Candara-boldItalic.ttf"/><Relationship Id="rId5" Type="http://schemas.openxmlformats.org/officeDocument/2006/relationships/font" Target="fonts/Pacifico-regular.ttf"/><Relationship Id="rId6" Type="http://schemas.openxmlformats.org/officeDocument/2006/relationships/font" Target="fonts/Candara-regular.ttf"/><Relationship Id="rId7" Type="http://schemas.openxmlformats.org/officeDocument/2006/relationships/font" Target="fonts/Candara-bold.ttf"/><Relationship Id="rId8" Type="http://schemas.openxmlformats.org/officeDocument/2006/relationships/font" Target="fonts/Candara-italic.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riK/hNw0x9j9eg7QneYqQzFpdQ==">AMUW2mV1I8jTzAU5ynPwcLPcm9KlzkVjG1XJydRRrpgy3nhf/7YDva1QJQMepVMfj63xEMXMc1y02armQ6aqTNR7zkfz4N0aD7WtmDgmsEwixqIgSVPs5xLQoSutlvcboLcU4A3ao6l/eW4wF6rtZbWMaCyIb/uWxY9lkGRak0D0cpkzc+IJMacUK8QRVNCXXmLpCXFHbTfrzW4H18J6rPqfga01kxZ/F++SUM6JmYBPN2CM+qpUr6Msl8Iy+acHrqgMVWpP6ohO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2022-05-28T21:46:00Z</dcterms:created>
  <dc:creator>SIEC</dc:creator>
</cp:coreProperties>
</file>