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KEPLER ET LES LUNES DE JUPITER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1 ) la colonne 3 contient les valeurs des périodes de révolution des satellites tandis que la colonne 1 contient les valeurs des demi-grands axes en 103 km.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D’après la troisième loi de Kepler : « Pour toutes les orbites planétaires (satellites) le rapport du carré des périodes de révolution (T en s) au cube du demi-grand-axe de l'orbite (a en m) est constant » donc en ordonnée on va prendre la valeur du carré des périodes de révolution tandis qu’en abscisse on va prendre du cube du demi-grand-axe de l'orbite.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TListe = readCSV("Table-Satellites-Galilee.csv", "\t",3)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aListe = readCSV("Table-Satellites-Galilee.csv", "\t",2)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xreg = (10**3*a)**3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y = T**2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On obtient une droite qui passe par l’origine donc les résultats obtenus sont compatibles avec la troisième loi de Kepler.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2 ) TListe = readCSV("Table-Satellites-57.csv", "\t",3)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aListe = readCSV("Table-Satellites-57.csv", "\t",2)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xreg = (10**3*a)**3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y = T**2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On obtient une droite qui passe par l’origine donc les résultats obtenus sont compatibles avec la troisième loi de Kepler ( si c’est pas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le cas conclure en fonction 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3 ) durées : seconde / distances : mètre / masse : kilogramme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M = (4*np.pi**2/G) * (10**6*a)**3/(T/86164)**2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plt.hist(M, bins = 30)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ecart_type = np.std(M, ddof=1)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incertitude_type = ecart_type / np.sqrt(len(L))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Conclure si oui ou non elle est compatible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