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95424F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A71D7" w:rsidRPr="00AA513E">
        <w:rPr>
          <w:b/>
        </w:rPr>
        <w:t>quatre</w:t>
      </w:r>
      <w:r w:rsidRPr="00581077">
        <w:rPr>
          <w:b/>
        </w:rPr>
        <w:t xml:space="preserve"> </w:t>
      </w:r>
      <w:r w:rsidR="00AA513E">
        <w:t>pages</w:t>
      </w:r>
      <w:r w:rsidR="00C2065A">
        <w:t xml:space="preserve">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3A114B" w:rsidRPr="00545715" w:rsidRDefault="003A114B" w:rsidP="00E26870">
      <w:pPr>
        <w:pStyle w:val="ECEcorps"/>
        <w:rPr>
          <w:u w:val="single"/>
        </w:rPr>
      </w:pP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002A80" w:rsidRDefault="00002A80" w:rsidP="00002A80">
      <w:pPr>
        <w:pStyle w:val="ECEcorps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4311147</wp:posOffset>
            </wp:positionH>
            <wp:positionV relativeFrom="paragraph">
              <wp:posOffset>30480</wp:posOffset>
            </wp:positionV>
            <wp:extent cx="2190750" cy="1764771"/>
            <wp:effectExtent l="0" t="0" r="0" b="6985"/>
            <wp:wrapTight wrapText="bothSides">
              <wp:wrapPolygon edited="0">
                <wp:start x="0" y="0"/>
                <wp:lineTo x="0" y="21452"/>
                <wp:lineTo x="21412" y="21452"/>
                <wp:lineTo x="214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92">
        <w:t>L'amidon</w:t>
      </w:r>
      <w:r>
        <w:t xml:space="preserve"> </w:t>
      </w:r>
      <w:r w:rsidRPr="00B25B92">
        <w:t>est un élément courant de l'alimentation humaine.</w:t>
      </w:r>
      <w:r>
        <w:t xml:space="preserve"> On le trouve dans les céréales et donc le pain, dans les tubercules comme les pommes de terre, ainsi que dans certains fruits.</w:t>
      </w:r>
    </w:p>
    <w:p w:rsidR="006D242C" w:rsidRDefault="006D242C" w:rsidP="00002A80">
      <w:pPr>
        <w:pStyle w:val="ECEcorps"/>
      </w:pPr>
    </w:p>
    <w:p w:rsidR="00002A80" w:rsidRDefault="00002A80" w:rsidP="00002A80">
      <w:pPr>
        <w:pStyle w:val="ECEcorps"/>
      </w:pPr>
      <w:r w:rsidRPr="00B25B92">
        <w:t>Lors de la digestion, les molécules d'amidon</w:t>
      </w:r>
      <w:r w:rsidR="00AF785A">
        <w:t xml:space="preserve"> réagissent avec l’eau et</w:t>
      </w:r>
      <w:r w:rsidRPr="00B25B92">
        <w:t xml:space="preserve"> se dissocient </w:t>
      </w:r>
      <w:r>
        <w:t>en molécules</w:t>
      </w:r>
      <w:r w:rsidR="00AF785A">
        <w:t xml:space="preserve"> de glucose</w:t>
      </w:r>
      <w:r>
        <w:t xml:space="preserve"> plus petites pour être</w:t>
      </w:r>
      <w:r w:rsidRPr="00B25B92">
        <w:t xml:space="preserve"> assimilables par le système digestif</w:t>
      </w:r>
      <w:r>
        <w:t xml:space="preserve"> selon la réaction :</w:t>
      </w:r>
    </w:p>
    <w:p w:rsidR="00002A80" w:rsidRDefault="00002A80" w:rsidP="00002A80">
      <w:pPr>
        <w:pStyle w:val="ECEcorps"/>
        <w:jc w:val="center"/>
      </w:pPr>
      <w:r w:rsidRPr="00BB0AE1">
        <w:t xml:space="preserve">amidon + eau </w:t>
      </w:r>
      <w:r w:rsidR="00883C42">
        <w:sym w:font="Wingdings" w:char="F0E0"/>
      </w:r>
      <w:r w:rsidRPr="00BB0AE1">
        <w:t xml:space="preserve"> glucose</w:t>
      </w:r>
    </w:p>
    <w:p w:rsidR="00002A80" w:rsidRDefault="00002A80" w:rsidP="00002A80">
      <w:pPr>
        <w:pStyle w:val="ECEcorps"/>
      </w:pPr>
      <w:r>
        <w:t>Cette étape</w:t>
      </w:r>
      <w:r w:rsidR="00AF785A">
        <w:t xml:space="preserve"> est</w:t>
      </w:r>
      <w:r>
        <w:t xml:space="preserve"> appelée hydrolyse de l’amidon.</w:t>
      </w:r>
    </w:p>
    <w:p w:rsidR="00002A80" w:rsidRDefault="00002A80" w:rsidP="00002A80">
      <w:pPr>
        <w:pStyle w:val="ECEcorps"/>
      </w:pPr>
    </w:p>
    <w:p w:rsidR="00002A80" w:rsidRPr="00B25B92" w:rsidRDefault="00002A80" w:rsidP="00002A80">
      <w:pPr>
        <w:pStyle w:val="ECEcorps"/>
      </w:pPr>
      <w:r>
        <w:t>D</w:t>
      </w:r>
      <w:r w:rsidRPr="00B25B92">
        <w:t>es</w:t>
      </w:r>
      <w:r>
        <w:t xml:space="preserve"> enzymes digestives, les </w:t>
      </w:r>
      <w:r w:rsidRPr="00166A21">
        <w:t>amylases</w:t>
      </w:r>
      <w:r>
        <w:t>, sont</w:t>
      </w:r>
      <w:r w:rsidRPr="00B25B92">
        <w:t xml:space="preserve"> présentes dans la</w:t>
      </w:r>
      <w:r>
        <w:t xml:space="preserve"> </w:t>
      </w:r>
      <w:hyperlink r:id="rId9" w:tooltip="Salive" w:history="1">
        <w:r w:rsidRPr="00B25B92">
          <w:rPr>
            <w:rStyle w:val="Lienhypertexte"/>
            <w:color w:val="auto"/>
            <w:u w:val="none"/>
          </w:rPr>
          <w:t>salive</w:t>
        </w:r>
      </w:hyperlink>
      <w:r>
        <w:rPr>
          <w:rStyle w:val="Lienhypertexte"/>
          <w:color w:val="auto"/>
          <w:u w:val="none"/>
        </w:rPr>
        <w:t xml:space="preserve"> </w:t>
      </w:r>
      <w:r>
        <w:t>et</w:t>
      </w:r>
      <w:r w:rsidRPr="00B25B92">
        <w:t xml:space="preserve"> dans le</w:t>
      </w:r>
      <w:r>
        <w:t xml:space="preserve"> </w:t>
      </w:r>
      <w:hyperlink r:id="rId10" w:tooltip="Suc pancréatique" w:history="1">
        <w:r w:rsidRPr="00B25B92">
          <w:rPr>
            <w:rStyle w:val="Lienhypertexte"/>
            <w:color w:val="auto"/>
            <w:u w:val="none"/>
          </w:rPr>
          <w:t>suc pancréatique</w:t>
        </w:r>
      </w:hyperlink>
      <w:r w:rsidRPr="00B25B92">
        <w:t xml:space="preserve"> </w:t>
      </w:r>
      <w:r>
        <w:t xml:space="preserve">pour </w:t>
      </w:r>
      <w:r w:rsidR="0008385C">
        <w:t>catalyser</w:t>
      </w:r>
      <w:r w:rsidR="0008385C" w:rsidRPr="00B25B92">
        <w:t xml:space="preserve"> </w:t>
      </w:r>
      <w:r>
        <w:t>cette réaction.</w:t>
      </w:r>
    </w:p>
    <w:p w:rsidR="00002A80" w:rsidRPr="006D242C" w:rsidRDefault="00002A80" w:rsidP="00002A80">
      <w:pPr>
        <w:pStyle w:val="ECEcorps"/>
        <w:jc w:val="right"/>
        <w:rPr>
          <w:i/>
        </w:rPr>
      </w:pPr>
      <w:r w:rsidRPr="006D242C">
        <w:rPr>
          <w:i/>
        </w:rPr>
        <w:t>Grains d'amidon de pomme de terre</w:t>
      </w:r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</w:p>
    <w:p w:rsidR="00002A80" w:rsidRPr="004C63B9" w:rsidRDefault="00002A80" w:rsidP="00002A80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vérifier les propriétés catalytiques des amylases lors de l’hydrolyse de l’amidon.</w:t>
      </w:r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</w:p>
    <w:p w:rsidR="00883C42" w:rsidRDefault="00883C42" w:rsidP="00002A80">
      <w:pPr>
        <w:pStyle w:val="ECEcorps"/>
      </w:pPr>
    </w:p>
    <w:p w:rsidR="00C60969" w:rsidRDefault="00C60969" w:rsidP="00E26870">
      <w:pPr>
        <w:pStyle w:val="ECEcorps"/>
      </w:pPr>
    </w:p>
    <w:p w:rsidR="00002A80" w:rsidRDefault="00002A80" w:rsidP="00E26870">
      <w:pPr>
        <w:pStyle w:val="ECEcorps"/>
        <w:rPr>
          <w:b/>
          <w:sz w:val="24"/>
          <w:szCs w:val="24"/>
          <w:u w:val="single"/>
        </w:rPr>
      </w:pP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AF785A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:rsidR="006A71D7" w:rsidRPr="00545715" w:rsidRDefault="006A71D7" w:rsidP="00E26870">
      <w:pPr>
        <w:pStyle w:val="ECEcorps"/>
      </w:pPr>
    </w:p>
    <w:p w:rsidR="00002A80" w:rsidRPr="00C601D3" w:rsidRDefault="00002A80" w:rsidP="00002A80">
      <w:pPr>
        <w:pStyle w:val="ECEtitre"/>
        <w:rPr>
          <w:sz w:val="24"/>
          <w:u w:val="none"/>
        </w:rPr>
      </w:pPr>
      <w:r w:rsidRPr="00002A80">
        <w:rPr>
          <w:sz w:val="24"/>
        </w:rPr>
        <w:t>Protocole du suivi cinétique</w:t>
      </w:r>
    </w:p>
    <w:p w:rsidR="00002A80" w:rsidRPr="009506E7" w:rsidRDefault="00002A80" w:rsidP="00002A80">
      <w:pPr>
        <w:pStyle w:val="ECEcorps"/>
      </w:pPr>
    </w:p>
    <w:p w:rsidR="00002A80" w:rsidRDefault="00002A80" w:rsidP="005C3448">
      <w:pPr>
        <w:pStyle w:val="ECEcorps"/>
        <w:numPr>
          <w:ilvl w:val="0"/>
          <w:numId w:val="11"/>
        </w:numPr>
      </w:pPr>
      <w:r>
        <w:t>Dans un bécher, verser 30 mL de solution d’amidon à 1%.</w:t>
      </w:r>
    </w:p>
    <w:p w:rsidR="00002A80" w:rsidRDefault="00002A80" w:rsidP="005C3448">
      <w:pPr>
        <w:pStyle w:val="ECEcorps"/>
        <w:numPr>
          <w:ilvl w:val="0"/>
          <w:numId w:val="11"/>
        </w:numPr>
      </w:pPr>
      <w:r>
        <w:t xml:space="preserve">Ajouter </w:t>
      </w:r>
      <w:r w:rsidRPr="003E5A11">
        <w:t xml:space="preserve">1,0 mL </w:t>
      </w:r>
      <w:r w:rsidR="006D242C">
        <w:t>de solution de diiode.</w:t>
      </w:r>
    </w:p>
    <w:p w:rsidR="006D242C" w:rsidRDefault="006D242C" w:rsidP="005C3448">
      <w:pPr>
        <w:pStyle w:val="ECEcorps"/>
        <w:numPr>
          <w:ilvl w:val="0"/>
          <w:numId w:val="11"/>
        </w:numPr>
      </w:pPr>
      <w:r>
        <w:t>Ajouter 2,0 mL d’eau distillée.</w:t>
      </w:r>
    </w:p>
    <w:p w:rsidR="006D242C" w:rsidRDefault="006D242C" w:rsidP="005C3448">
      <w:pPr>
        <w:pStyle w:val="ECEcorps"/>
        <w:numPr>
          <w:ilvl w:val="0"/>
          <w:numId w:val="11"/>
        </w:numPr>
      </w:pPr>
      <w:r>
        <w:t>Agiter le mélange.</w:t>
      </w:r>
    </w:p>
    <w:p w:rsidR="007E7114" w:rsidRPr="007E7114" w:rsidRDefault="00002A80" w:rsidP="005C3448">
      <w:pPr>
        <w:pStyle w:val="ECEcorps"/>
        <w:numPr>
          <w:ilvl w:val="0"/>
          <w:numId w:val="11"/>
        </w:numPr>
      </w:pPr>
      <w:r>
        <w:t xml:space="preserve">Remplir rapidement une cuve </w:t>
      </w:r>
      <w:r w:rsidR="006D242C">
        <w:t xml:space="preserve">de ce mélange </w:t>
      </w:r>
      <w:r>
        <w:t xml:space="preserve">et lancer le suivi cinétique par spectrophotométrie à la longueur d’onde de 680 nm </w:t>
      </w:r>
      <w:r w:rsidR="006D242C">
        <w:t>pendant 200</w:t>
      </w:r>
      <w:r w:rsidR="00883C42">
        <w:t xml:space="preserve"> </w:t>
      </w:r>
      <w:r w:rsidR="006D242C">
        <w:t>secondes</w:t>
      </w:r>
      <w:r>
        <w:t>.</w:t>
      </w:r>
    </w:p>
    <w:p w:rsidR="006A71D7" w:rsidRPr="00036323" w:rsidRDefault="006A71D7" w:rsidP="00036323">
      <w:pPr>
        <w:pStyle w:val="ECEcorps"/>
      </w:pPr>
    </w:p>
    <w:p w:rsidR="00002A80" w:rsidRPr="00C601D3" w:rsidRDefault="00002A80" w:rsidP="00002A80">
      <w:pPr>
        <w:pStyle w:val="ECEtitre"/>
        <w:rPr>
          <w:sz w:val="24"/>
          <w:u w:val="none"/>
        </w:rPr>
      </w:pPr>
      <w:r w:rsidRPr="00002A80">
        <w:rPr>
          <w:sz w:val="24"/>
        </w:rPr>
        <w:t>Vitesse moyenne de réaction</w:t>
      </w:r>
    </w:p>
    <w:p w:rsidR="00002A80" w:rsidRPr="009506E7" w:rsidRDefault="00002A80" w:rsidP="00002A80">
      <w:pPr>
        <w:pStyle w:val="ECEcorps"/>
      </w:pPr>
    </w:p>
    <w:p w:rsidR="00002A80" w:rsidRPr="00C44EEB" w:rsidRDefault="00002A80" w:rsidP="00002A80">
      <w:pPr>
        <w:pStyle w:val="ECEcorps"/>
      </w:pPr>
      <w:r w:rsidRPr="005307A2">
        <w:t xml:space="preserve">La </w:t>
      </w:r>
      <w:r>
        <w:t xml:space="preserve">vitesse moyenne </w:t>
      </w:r>
      <w:r w:rsidR="006D242C" w:rsidRPr="006D242C">
        <w:rPr>
          <w:i/>
        </w:rPr>
        <w:t>V</w:t>
      </w:r>
      <w:r w:rsidR="006D242C" w:rsidRPr="006D242C">
        <w:rPr>
          <w:i/>
          <w:vertAlign w:val="subscript"/>
        </w:rPr>
        <w:t>moy</w:t>
      </w:r>
      <w:r w:rsidR="006D242C">
        <w:t xml:space="preserve"> </w:t>
      </w:r>
      <w:r>
        <w:t xml:space="preserve">de réaction est proportionnelle au quotient  </w:t>
      </w:r>
      <w:r w:rsidR="00D27DED">
        <w:softHyphen/>
      </w:r>
      <m:oMath>
        <m:r>
          <w:rPr>
            <w:rFonts w:ascii="Cambria Math" w:hAnsi="Cambria Math"/>
          </w:rPr>
          <m:t>–</m:t>
        </m:r>
        <m:r>
          <m:rPr>
            <m:nor/>
          </m:rPr>
          <w:rPr>
            <w:sz w:val="22"/>
            <w:szCs w:val="22"/>
          </w:rPr>
          <w:softHyphen/>
        </m:r>
        <m:r>
          <m:rPr>
            <m:nor/>
          </m:rPr>
          <w:rPr>
            <w:sz w:val="22"/>
            <w:szCs w:val="22"/>
          </w:rPr>
          <w:softHyphen/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i/>
                <w:sz w:val="22"/>
                <w:szCs w:val="22"/>
              </w:rPr>
              <m:t>ΔA</m:t>
            </m:r>
          </m:num>
          <m:den>
            <m:r>
              <m:rPr>
                <m:nor/>
              </m:rPr>
              <w:rPr>
                <w:i/>
                <w:sz w:val="22"/>
                <w:szCs w:val="22"/>
              </w:rPr>
              <m:t>Δt</m:t>
            </m:r>
          </m:den>
        </m:f>
      </m:oMath>
    </w:p>
    <w:p w:rsidR="006D242C" w:rsidRPr="006D242C" w:rsidRDefault="006D242C" w:rsidP="00002A80">
      <w:pPr>
        <w:pStyle w:val="ECEtitre"/>
        <w:rPr>
          <w:sz w:val="12"/>
          <w:szCs w:val="12"/>
        </w:rPr>
      </w:pPr>
    </w:p>
    <w:p w:rsidR="00002A80" w:rsidRPr="006D242C" w:rsidRDefault="00002A80" w:rsidP="00002A80">
      <w:pPr>
        <w:pStyle w:val="ECEtitre"/>
        <w:rPr>
          <w:b w:val="0"/>
          <w:u w:val="none"/>
        </w:rPr>
      </w:pPr>
      <w:r w:rsidRPr="006D242C">
        <w:rPr>
          <w:b w:val="0"/>
          <w:u w:val="none"/>
        </w:rPr>
        <w:t>Avec</w:t>
      </w:r>
      <w:r w:rsidR="006D242C">
        <w:rPr>
          <w:b w:val="0"/>
          <w:u w:val="none"/>
        </w:rPr>
        <w:t> :</w:t>
      </w:r>
      <w:r w:rsidRPr="006D242C">
        <w:rPr>
          <w:b w:val="0"/>
          <w:u w:val="none"/>
        </w:rPr>
        <w:t xml:space="preserve"> </w:t>
      </w:r>
      <m:oMath>
        <m:r>
          <m:rPr>
            <m:nor/>
          </m:rPr>
          <w:rPr>
            <w:b w:val="0"/>
            <w:u w:val="none"/>
          </w:rPr>
          <m:t>Δ</m:t>
        </m:r>
        <m:r>
          <m:rPr>
            <m:nor/>
          </m:rPr>
          <w:rPr>
            <w:b w:val="0"/>
            <w:i/>
            <w:u w:val="none"/>
          </w:rPr>
          <m:t>A</m:t>
        </m:r>
      </m:oMath>
      <w:r w:rsidRPr="006D242C">
        <w:rPr>
          <w:b w:val="0"/>
          <w:u w:val="none"/>
        </w:rPr>
        <w:t xml:space="preserve"> la différence d’absorbance relevée </w:t>
      </w:r>
      <w:r w:rsidR="006D242C">
        <w:rPr>
          <w:b w:val="0"/>
          <w:u w:val="none"/>
        </w:rPr>
        <w:t>au cours de</w:t>
      </w:r>
      <w:r w:rsidRPr="006D242C">
        <w:rPr>
          <w:b w:val="0"/>
          <w:u w:val="none"/>
        </w:rPr>
        <w:t xml:space="preserve"> la durée </w:t>
      </w:r>
      <m:oMath>
        <m:r>
          <m:rPr>
            <m:nor/>
          </m:rPr>
          <w:rPr>
            <w:b w:val="0"/>
            <w:u w:val="none"/>
          </w:rPr>
          <m:t>Δ</m:t>
        </m:r>
        <m:r>
          <m:rPr>
            <m:nor/>
          </m:rPr>
          <w:rPr>
            <w:b w:val="0"/>
            <w:i/>
            <w:u w:val="none"/>
          </w:rPr>
          <m:t>t</m:t>
        </m:r>
      </m:oMath>
    </w:p>
    <w:p w:rsidR="00002A80" w:rsidRDefault="00002A80" w:rsidP="00002A80">
      <w:pPr>
        <w:pStyle w:val="ECEcorps"/>
      </w:pPr>
    </w:p>
    <w:p w:rsidR="006A71D7" w:rsidRDefault="006A71D7" w:rsidP="00E26870">
      <w:pPr>
        <w:pStyle w:val="ECEcorps"/>
      </w:pPr>
    </w:p>
    <w:p w:rsidR="00C6096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:rsidR="00C601D3" w:rsidRPr="00C601D3" w:rsidRDefault="00C601D3" w:rsidP="00C601D3">
      <w:pPr>
        <w:pStyle w:val="ECEcorps"/>
      </w:pPr>
    </w:p>
    <w:p w:rsidR="00002A80" w:rsidRDefault="00002A80" w:rsidP="00002A80">
      <w:pPr>
        <w:pStyle w:val="ECEpuce1"/>
        <w:jc w:val="left"/>
      </w:pPr>
      <w:r>
        <w:t xml:space="preserve">Un catalyseur </w:t>
      </w:r>
      <w:r w:rsidR="00AF785A">
        <w:t xml:space="preserve">pourra </w:t>
      </w:r>
      <w:r>
        <w:t>être introduit en faible proportion dans le mélange réactionnel vis-à-vis des quantités apportées de réactifs.</w:t>
      </w:r>
    </w:p>
    <w:p w:rsidR="00002A80" w:rsidRDefault="006D242C" w:rsidP="00002A80">
      <w:pPr>
        <w:pStyle w:val="ECEpuce1"/>
      </w:pPr>
      <w:r>
        <w:t>La solution de diiode</w:t>
      </w:r>
      <w:r w:rsidR="00002A80" w:rsidRPr="002C68BA">
        <w:t xml:space="preserve"> </w:t>
      </w:r>
      <w:r w:rsidR="00002A80">
        <w:t xml:space="preserve">permet de </w:t>
      </w:r>
      <w:r w:rsidR="00002A80" w:rsidRPr="002C68BA">
        <w:t>met</w:t>
      </w:r>
      <w:r w:rsidR="00002A80">
        <w:t>tre</w:t>
      </w:r>
      <w:r w:rsidR="00002A80" w:rsidRPr="002C68BA">
        <w:t xml:space="preserve"> en évidence la présence d'amidon par une coloration bleu nuit. </w:t>
      </w:r>
    </w:p>
    <w:p w:rsidR="006A71D7" w:rsidRDefault="006A71D7" w:rsidP="00337F03">
      <w:pPr>
        <w:pStyle w:val="ECEcorps"/>
      </w:pPr>
    </w:p>
    <w:p w:rsidR="00883C42" w:rsidRPr="00337F03" w:rsidRDefault="00883C42" w:rsidP="00337F03">
      <w:pPr>
        <w:pStyle w:val="ECEcorps"/>
      </w:pPr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002A80" w:rsidRDefault="00002A80" w:rsidP="00002A80">
      <w:pPr>
        <w:pStyle w:val="ECEpartie"/>
        <w:numPr>
          <w:ilvl w:val="0"/>
          <w:numId w:val="5"/>
        </w:numPr>
      </w:pPr>
      <w:bookmarkStart w:id="5" w:name="_Toc482638814"/>
      <w:bookmarkStart w:id="6" w:name="_Toc20210202"/>
      <w:bookmarkEnd w:id="2"/>
      <w:bookmarkEnd w:id="3"/>
      <w:bookmarkEnd w:id="4"/>
      <w:r>
        <w:t>Manipulation préalable</w:t>
      </w:r>
      <w:r w:rsidRPr="00452138">
        <w:t xml:space="preserve"> </w:t>
      </w:r>
      <w:r w:rsidRPr="00036323">
        <w:rPr>
          <w:b w:val="0"/>
        </w:rPr>
        <w:t>(10 minutes conseillées)</w:t>
      </w:r>
      <w:bookmarkEnd w:id="5"/>
      <w:bookmarkEnd w:id="6"/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  <w:r>
        <w:t xml:space="preserve">La solution d’amidon à 5% en masse est trop concentrée. À l’aide du matériel disponible, proposer et mettre en œuvre un protocole pour obtenir un volume </w:t>
      </w:r>
      <w:r w:rsidRPr="00D27DED">
        <w:rPr>
          <w:i/>
        </w:rPr>
        <w:t>V</w:t>
      </w:r>
      <w:r>
        <w:t> = 100 mL, d’une solution d’amidon cinq fois moins concentrée. Cette solution sera notée « amidon à 1% ».</w:t>
      </w:r>
    </w:p>
    <w:p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002A80" w:rsidRPr="00FA0E4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6D242C" w:rsidRDefault="006D242C" w:rsidP="006D242C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6D242C" w:rsidRPr="00FA0E40" w:rsidRDefault="006D242C" w:rsidP="006D242C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6D242C" w:rsidRDefault="006D242C" w:rsidP="006D242C">
      <w:pPr>
        <w:pStyle w:val="ECEcorps"/>
      </w:pPr>
    </w:p>
    <w:p w:rsidR="006D242C" w:rsidRDefault="006D242C" w:rsidP="006D242C">
      <w:pPr>
        <w:pStyle w:val="ECEcorps"/>
      </w:pPr>
    </w:p>
    <w:p w:rsidR="00002A80" w:rsidRDefault="00002A80" w:rsidP="00002A8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02A80" w:rsidTr="00A37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02A80" w:rsidRDefault="00002A80" w:rsidP="00A37379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02A80" w:rsidTr="00A37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2A80" w:rsidRPr="00592F79" w:rsidRDefault="00002A80" w:rsidP="00A37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02A80" w:rsidRPr="0009288D" w:rsidRDefault="00002A80" w:rsidP="00A3737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la manipulation</w:t>
            </w:r>
          </w:p>
          <w:p w:rsidR="00002A80" w:rsidRDefault="00002A80" w:rsidP="00A37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02A80" w:rsidRDefault="00002A80" w:rsidP="00002A80">
      <w:pPr>
        <w:pStyle w:val="ECEcorps"/>
      </w:pPr>
    </w:p>
    <w:p w:rsidR="006A71D7" w:rsidRDefault="006A71D7" w:rsidP="00002A80">
      <w:pPr>
        <w:pStyle w:val="ECEcorps"/>
      </w:pPr>
    </w:p>
    <w:p w:rsidR="00002A80" w:rsidRPr="003C13F9" w:rsidRDefault="0047149B" w:rsidP="00002A80">
      <w:pPr>
        <w:pStyle w:val="ECEpartie"/>
      </w:pPr>
      <w:bookmarkStart w:id="7" w:name="_Toc482638815"/>
      <w:bookmarkStart w:id="8" w:name="_Toc20210203"/>
      <w:r>
        <w:lastRenderedPageBreak/>
        <w:t>É</w:t>
      </w:r>
      <w:r w:rsidR="00002A80">
        <w:t>tude sans catalyseur</w:t>
      </w:r>
      <w:r w:rsidR="00002A80" w:rsidRPr="003C13F9">
        <w:t xml:space="preserve"> </w:t>
      </w:r>
      <w:r w:rsidR="00002A80" w:rsidRPr="00036323">
        <w:rPr>
          <w:b w:val="0"/>
        </w:rPr>
        <w:t>(</w:t>
      </w:r>
      <w:r w:rsidR="00002A80">
        <w:rPr>
          <w:b w:val="0"/>
        </w:rPr>
        <w:t>20</w:t>
      </w:r>
      <w:r w:rsidR="00002A80" w:rsidRPr="0039367C">
        <w:rPr>
          <w:b w:val="0"/>
        </w:rPr>
        <w:t xml:space="preserve"> minutes conseillées</w:t>
      </w:r>
      <w:r w:rsidR="00002A80" w:rsidRPr="00036323">
        <w:rPr>
          <w:b w:val="0"/>
        </w:rPr>
        <w:t>)</w:t>
      </w:r>
      <w:bookmarkEnd w:id="7"/>
      <w:bookmarkEnd w:id="8"/>
    </w:p>
    <w:p w:rsidR="00002A80" w:rsidRDefault="00002A80" w:rsidP="00002A80">
      <w:pPr>
        <w:pStyle w:val="ECEcorps"/>
        <w:rPr>
          <w:rFonts w:eastAsia="Arial Unicode MS"/>
        </w:rPr>
      </w:pPr>
    </w:p>
    <w:p w:rsidR="00002A80" w:rsidRDefault="0047149B" w:rsidP="00002A8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Mettre en œuvre le « protocole du suivi cinétique » </w:t>
      </w:r>
      <w:r w:rsidR="00883C42">
        <w:rPr>
          <w:rFonts w:eastAsia="Arial Unicode MS"/>
        </w:rPr>
        <w:t>proposé</w:t>
      </w:r>
      <w:r>
        <w:rPr>
          <w:rFonts w:eastAsia="Arial Unicode MS"/>
        </w:rPr>
        <w:t xml:space="preserve"> dans les informations mises à disposition du candidat</w:t>
      </w:r>
      <w:r w:rsidR="00002A80">
        <w:rPr>
          <w:rFonts w:eastAsia="Arial Unicode MS"/>
        </w:rPr>
        <w:t>. Évaluer la vitesse moy</w:t>
      </w:r>
      <w:r>
        <w:rPr>
          <w:rFonts w:eastAsia="Arial Unicode MS"/>
        </w:rPr>
        <w:t>enne de disparition de l’amidon pendant la durée du suivi.</w:t>
      </w:r>
    </w:p>
    <w:p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6A71D7" w:rsidRPr="00FA0E4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67134E" w:rsidRDefault="0067134E" w:rsidP="0067134E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67134E" w:rsidRPr="00FA0E40" w:rsidRDefault="0067134E" w:rsidP="0067134E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:rsidR="00002A80" w:rsidRDefault="00002A80" w:rsidP="00002A80">
      <w:pPr>
        <w:pStyle w:val="ECEcorps"/>
      </w:pPr>
    </w:p>
    <w:p w:rsidR="00002A80" w:rsidRDefault="00002A80" w:rsidP="00002A8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02A80" w:rsidTr="00A37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02A80" w:rsidRDefault="00002A80" w:rsidP="00A37379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02A80" w:rsidTr="00A37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2A80" w:rsidRPr="00592F79" w:rsidRDefault="00002A80" w:rsidP="00A37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02A80" w:rsidRDefault="00002A80" w:rsidP="00A37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02A80" w:rsidRDefault="00002A80" w:rsidP="00002A80">
      <w:pPr>
        <w:pStyle w:val="ECEcorps"/>
      </w:pPr>
    </w:p>
    <w:p w:rsidR="006A71D7" w:rsidRDefault="006A71D7" w:rsidP="00002A80">
      <w:pPr>
        <w:pStyle w:val="ECEcorps"/>
      </w:pPr>
    </w:p>
    <w:p w:rsidR="00002A80" w:rsidRDefault="003837DB" w:rsidP="00002A80">
      <w:pPr>
        <w:pStyle w:val="ECEpartie"/>
      </w:pPr>
      <w:bookmarkStart w:id="9" w:name="_Toc482638816"/>
      <w:bookmarkStart w:id="10" w:name="_Toc20210204"/>
      <w:r>
        <w:t>É</w:t>
      </w:r>
      <w:r w:rsidR="00002A80">
        <w:t>tude avec catalyseur</w:t>
      </w:r>
      <w:r w:rsidR="00002A80" w:rsidRPr="003C13F9">
        <w:t xml:space="preserve"> </w:t>
      </w:r>
      <w:r w:rsidR="00002A80" w:rsidRPr="00036323">
        <w:rPr>
          <w:b w:val="0"/>
        </w:rPr>
        <w:t>(30 minutes conseillées)</w:t>
      </w:r>
      <w:bookmarkEnd w:id="9"/>
      <w:bookmarkEnd w:id="10"/>
    </w:p>
    <w:p w:rsidR="00002A80" w:rsidRPr="005C135E" w:rsidRDefault="00002A80" w:rsidP="00002A80">
      <w:pPr>
        <w:pStyle w:val="ECEcorps"/>
      </w:pPr>
    </w:p>
    <w:p w:rsidR="00002A80" w:rsidRDefault="00002A80" w:rsidP="0047149B">
      <w:pPr>
        <w:pStyle w:val="ECEcorps"/>
        <w:numPr>
          <w:ilvl w:val="1"/>
          <w:numId w:val="4"/>
        </w:numPr>
        <w:tabs>
          <w:tab w:val="left" w:pos="426"/>
        </w:tabs>
      </w:pPr>
      <w:r>
        <w:t xml:space="preserve">Proposer un protocole </w:t>
      </w:r>
      <w:r w:rsidRPr="00652265">
        <w:t>permettant de mettre en évidence les propriétés catalytiques de l’amylase pour l’hydrolyse de l’amidon</w:t>
      </w:r>
      <w:r>
        <w:t>.</w:t>
      </w:r>
    </w:p>
    <w:p w:rsidR="0047149B" w:rsidRDefault="0047149B" w:rsidP="00002A80">
      <w:pPr>
        <w:pStyle w:val="ECEcorps"/>
        <w:tabs>
          <w:tab w:val="left" w:pos="426"/>
        </w:tabs>
        <w:ind w:left="426" w:hanging="426"/>
      </w:pPr>
    </w:p>
    <w:p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7149B" w:rsidRPr="00341FA8" w:rsidRDefault="0047149B" w:rsidP="0047149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7149B" w:rsidRDefault="0047149B" w:rsidP="0047149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7149B" w:rsidRPr="00341FA8" w:rsidRDefault="0047149B" w:rsidP="0047149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83C42" w:rsidRDefault="00883C42" w:rsidP="00883C4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83C42" w:rsidRPr="00341FA8" w:rsidRDefault="00883C42" w:rsidP="00883C4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67134E" w:rsidRDefault="0067134E" w:rsidP="00002A80">
      <w:pPr>
        <w:pStyle w:val="ECEcorps"/>
      </w:pPr>
    </w:p>
    <w:p w:rsidR="0067134E" w:rsidRDefault="0067134E" w:rsidP="00002A80">
      <w:pPr>
        <w:pStyle w:val="ECEcorps"/>
      </w:pPr>
    </w:p>
    <w:p w:rsidR="0067134E" w:rsidRDefault="0067134E" w:rsidP="00002A8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02A80" w:rsidTr="00A37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02A80" w:rsidRDefault="00002A80" w:rsidP="00A37379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02A80" w:rsidTr="00A37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2A80" w:rsidRPr="00592F79" w:rsidRDefault="00002A80" w:rsidP="00A37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02A80" w:rsidRPr="0009288D" w:rsidRDefault="00002A80" w:rsidP="00A3737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protocole</w:t>
            </w:r>
          </w:p>
          <w:p w:rsidR="00002A80" w:rsidRDefault="00002A80" w:rsidP="00A37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02A80" w:rsidRDefault="0067134E" w:rsidP="00002A80">
      <w:pPr>
        <w:pStyle w:val="ECErponse"/>
        <w:ind w:left="426" w:hanging="426"/>
      </w:pPr>
      <w:r>
        <w:rPr>
          <w:rFonts w:eastAsia="Arial Unicode MS"/>
        </w:rPr>
        <w:lastRenderedPageBreak/>
        <w:t>3</w:t>
      </w:r>
      <w:r w:rsidR="00002A80">
        <w:rPr>
          <w:rFonts w:eastAsia="Arial Unicode MS"/>
        </w:rPr>
        <w:t>.2</w:t>
      </w:r>
      <w:r w:rsidR="00002A80">
        <w:rPr>
          <w:rFonts w:eastAsia="Arial Unicode MS"/>
        </w:rPr>
        <w:tab/>
        <w:t>Mettre en œuvre le protocole. Évaluer la vitesse moyenne de dispar</w:t>
      </w:r>
      <w:r>
        <w:rPr>
          <w:rFonts w:eastAsia="Arial Unicode MS"/>
        </w:rPr>
        <w:t>ition de l’amidon ainsi obtenue pendant la même durée d’étude.</w:t>
      </w:r>
    </w:p>
    <w:p w:rsidR="00002A80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Default="00002A80" w:rsidP="00002A80">
      <w:pPr>
        <w:pStyle w:val="ECErponse"/>
      </w:pPr>
      <w:r>
        <w:t>Commenter le résultat.</w:t>
      </w:r>
    </w:p>
    <w:p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2A80" w:rsidRPr="00400B91" w:rsidRDefault="00002A80" w:rsidP="00002A80">
      <w:pPr>
        <w:pStyle w:val="ECEcorps"/>
      </w:pPr>
    </w:p>
    <w:p w:rsidR="00002A80" w:rsidRDefault="00002A80" w:rsidP="00002A80">
      <w:pPr>
        <w:pStyle w:val="ECEcorps"/>
        <w:rPr>
          <w:b/>
        </w:rPr>
      </w:pPr>
    </w:p>
    <w:p w:rsidR="00D9338B" w:rsidRPr="00337F03" w:rsidRDefault="00002A80" w:rsidP="00002A80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D9338B" w:rsidRPr="00337F03" w:rsidSect="00680C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5FFD5" w16cid:durableId="21FAD63A"/>
  <w16cid:commentId w16cid:paraId="54A16726" w16cid:durableId="21FAD862"/>
  <w16cid:commentId w16cid:paraId="00AC652B" w16cid:durableId="21FAD8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B2" w:rsidRDefault="003A6EB2" w:rsidP="0008058B">
      <w:r>
        <w:separator/>
      </w:r>
    </w:p>
  </w:endnote>
  <w:endnote w:type="continuationSeparator" w:id="0">
    <w:p w:rsidR="003A6EB2" w:rsidRDefault="003A6EB2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8" w:rsidRDefault="001A2C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BC1D06" w:rsidRPr="00827238">
      <w:fldChar w:fldCharType="begin"/>
    </w:r>
    <w:r w:rsidRPr="00827238">
      <w:instrText xml:space="preserve"> PAGE </w:instrText>
    </w:r>
    <w:r w:rsidR="00BC1D06" w:rsidRPr="00827238">
      <w:fldChar w:fldCharType="separate"/>
    </w:r>
    <w:r w:rsidR="0095424F">
      <w:rPr>
        <w:noProof/>
      </w:rPr>
      <w:t>1</w:t>
    </w:r>
    <w:r w:rsidR="00BC1D06" w:rsidRPr="00827238">
      <w:rPr>
        <w:noProof/>
      </w:rPr>
      <w:fldChar w:fldCharType="end"/>
    </w:r>
    <w:r w:rsidRPr="00827238">
      <w:t xml:space="preserve"> sur </w:t>
    </w:r>
    <w:fldSimple w:instr=" NUMPAGES  ">
      <w:r w:rsidR="0095424F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8" w:rsidRDefault="001A2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B2" w:rsidRDefault="003A6EB2" w:rsidP="0008058B">
      <w:r>
        <w:separator/>
      </w:r>
    </w:p>
  </w:footnote>
  <w:footnote w:type="continuationSeparator" w:id="0">
    <w:p w:rsidR="003A6EB2" w:rsidRDefault="003A6EB2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8" w:rsidRDefault="001A2C08">
    <w:pPr>
      <w:pStyle w:val="En-tt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2C" w:rsidRDefault="00C60969" w:rsidP="006D242C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002A80">
      <w:rPr>
        <w:b/>
        <w:sz w:val="24"/>
        <w:szCs w:val="24"/>
      </w:rPr>
      <w:t>AMYLASE</w:t>
    </w:r>
    <w:r>
      <w:tab/>
      <w:t>Session</w:t>
    </w:r>
  </w:p>
  <w:p w:rsidR="00C60969" w:rsidRDefault="0095424F" w:rsidP="006D242C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</w:r>
    <w:bookmarkStart w:id="11" w:name="_GoBack"/>
    <w:bookmarkEnd w:id="11"/>
    <w:r w:rsidR="00C60969">
      <w:t>2021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8" w:rsidRDefault="001A2C08">
    <w:pPr>
      <w:pStyle w:val="En-tt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37703BC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6F025D29"/>
    <w:multiLevelType w:val="hybridMultilevel"/>
    <w:tmpl w:val="8D7AE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CD8"/>
    <w:multiLevelType w:val="hybridMultilevel"/>
    <w:tmpl w:val="AF1A0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2A80"/>
    <w:rsid w:val="00004673"/>
    <w:rsid w:val="00024878"/>
    <w:rsid w:val="0003345D"/>
    <w:rsid w:val="00036323"/>
    <w:rsid w:val="00036419"/>
    <w:rsid w:val="000452AF"/>
    <w:rsid w:val="0005057E"/>
    <w:rsid w:val="0005391B"/>
    <w:rsid w:val="00060606"/>
    <w:rsid w:val="000730EC"/>
    <w:rsid w:val="0008058B"/>
    <w:rsid w:val="0008385C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6091"/>
    <w:rsid w:val="00154171"/>
    <w:rsid w:val="00154704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1D5A"/>
    <w:rsid w:val="001A2C08"/>
    <w:rsid w:val="001A43AF"/>
    <w:rsid w:val="001A5F0A"/>
    <w:rsid w:val="001B5CD4"/>
    <w:rsid w:val="001B6AE5"/>
    <w:rsid w:val="001B6BCD"/>
    <w:rsid w:val="001C1B1D"/>
    <w:rsid w:val="001C388B"/>
    <w:rsid w:val="001C3EEA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97830"/>
    <w:rsid w:val="002B2244"/>
    <w:rsid w:val="002B44A4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6CD0"/>
    <w:rsid w:val="00367552"/>
    <w:rsid w:val="0037570D"/>
    <w:rsid w:val="00380A67"/>
    <w:rsid w:val="003837DB"/>
    <w:rsid w:val="003839E3"/>
    <w:rsid w:val="003869AD"/>
    <w:rsid w:val="00392182"/>
    <w:rsid w:val="0039367C"/>
    <w:rsid w:val="00397E4F"/>
    <w:rsid w:val="003A114B"/>
    <w:rsid w:val="003A6EB2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515C"/>
    <w:rsid w:val="0047149B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827DD"/>
    <w:rsid w:val="00593DD4"/>
    <w:rsid w:val="005A3ADA"/>
    <w:rsid w:val="005A6352"/>
    <w:rsid w:val="005C3448"/>
    <w:rsid w:val="005E41AE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134E"/>
    <w:rsid w:val="0067559A"/>
    <w:rsid w:val="00675DF7"/>
    <w:rsid w:val="00680CBA"/>
    <w:rsid w:val="00693925"/>
    <w:rsid w:val="006A0F26"/>
    <w:rsid w:val="006A1119"/>
    <w:rsid w:val="006A4982"/>
    <w:rsid w:val="006A71D7"/>
    <w:rsid w:val="006C3642"/>
    <w:rsid w:val="006D242C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5C68"/>
    <w:rsid w:val="00735FD2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7238"/>
    <w:rsid w:val="00845CFB"/>
    <w:rsid w:val="00847E64"/>
    <w:rsid w:val="00882C1C"/>
    <w:rsid w:val="00883B86"/>
    <w:rsid w:val="00883C42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424F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169B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A513E"/>
    <w:rsid w:val="00AB1C2D"/>
    <w:rsid w:val="00AC1F4D"/>
    <w:rsid w:val="00AC48FD"/>
    <w:rsid w:val="00AD1605"/>
    <w:rsid w:val="00AE1C5F"/>
    <w:rsid w:val="00AF12DB"/>
    <w:rsid w:val="00AF785A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C1D06"/>
    <w:rsid w:val="00BD2046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1D3"/>
    <w:rsid w:val="00C60969"/>
    <w:rsid w:val="00C60BE5"/>
    <w:rsid w:val="00C623E7"/>
    <w:rsid w:val="00C632A4"/>
    <w:rsid w:val="00C74BFD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20F73"/>
    <w:rsid w:val="00D27DED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4B44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57B64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718A1"/>
    <w:rsid w:val="00F879D2"/>
    <w:rsid w:val="00FB14E2"/>
    <w:rsid w:val="00FB25E2"/>
    <w:rsid w:val="00FB2CA9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09C76A"/>
  <w15:docId w15:val="{96B25F84-1666-48DE-840C-C6244EE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unhideWhenUsed/>
    <w:rsid w:val="0000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r.wikipedia.org/wiki/Suc_pancr%C3%A9atiqu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aliv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006A1-9C69-4A3B-91C1-4B5ADBC7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3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5</cp:revision>
  <cp:lastPrinted>2020-04-23T09:28:00Z</cp:lastPrinted>
  <dcterms:created xsi:type="dcterms:W3CDTF">2020-11-03T11:43:00Z</dcterms:created>
  <dcterms:modified xsi:type="dcterms:W3CDTF">2020-12-02T09:39:00Z</dcterms:modified>
</cp:coreProperties>
</file>