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CC2D98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3B5A8556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DB1968">
        <w:rPr>
          <w:b/>
        </w:rPr>
        <w:t xml:space="preserve">cinq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1B255F80" w14:textId="77777777" w:rsidR="00FD0DC2" w:rsidRDefault="00FD0DC2" w:rsidP="00E26870">
      <w:pPr>
        <w:pStyle w:val="ECEcorps"/>
        <w:rPr>
          <w:u w:val="single"/>
        </w:rPr>
      </w:pPr>
    </w:p>
    <w:p w14:paraId="03CD6521" w14:textId="77777777" w:rsidR="00FD0DC2" w:rsidRDefault="00FD0DC2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458BEA48" w:rsidR="00E26870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79AD5C3B" w14:textId="77777777" w:rsidR="00FD0DC2" w:rsidRDefault="00FD0DC2" w:rsidP="00FD0DC2">
      <w:pPr>
        <w:pStyle w:val="ECEcorps"/>
      </w:pPr>
    </w:p>
    <w:p w14:paraId="0AB83AF3" w14:textId="77777777" w:rsidR="00FD0DC2" w:rsidRPr="00FD0DC2" w:rsidRDefault="00FD0DC2" w:rsidP="00FD0DC2">
      <w:pPr>
        <w:pStyle w:val="ECEcorps"/>
      </w:pPr>
    </w:p>
    <w:p w14:paraId="776288B2" w14:textId="3D0C46D6" w:rsidR="00E31186" w:rsidRDefault="00FF43F1" w:rsidP="00D40198">
      <w:pPr>
        <w:pStyle w:val="ECEcorps"/>
      </w:pPr>
      <w:r>
        <w:t>Pour des raisons de santé, l</w:t>
      </w:r>
      <w:r w:rsidR="00B55D28">
        <w:t>a</w:t>
      </w:r>
      <w:r w:rsidR="00B74C02">
        <w:t xml:space="preserve"> concentration en </w:t>
      </w:r>
      <w:r w:rsidR="00B55D28">
        <w:t xml:space="preserve">ions </w:t>
      </w:r>
      <w:r w:rsidR="00C43F6C">
        <w:t>nitrate</w:t>
      </w:r>
      <w:r w:rsidR="00B55D28">
        <w:t xml:space="preserve"> dans une eau</w:t>
      </w:r>
      <w:r w:rsidR="002967B1">
        <w:t xml:space="preserve"> </w:t>
      </w:r>
      <w:r w:rsidR="00B55D28">
        <w:t>destinée à une consommation quotidienne et exclusive ne doit pas être trop élevée</w:t>
      </w:r>
      <w:r w:rsidR="00224BA9">
        <w:t xml:space="preserve">, surtout </w:t>
      </w:r>
      <w:r w:rsidR="003E6D3A">
        <w:t xml:space="preserve">si cette </w:t>
      </w:r>
      <w:r w:rsidR="002967B1">
        <w:t>eau</w:t>
      </w:r>
      <w:r w:rsidR="003E6D3A">
        <w:t xml:space="preserve"> est</w:t>
      </w:r>
      <w:r w:rsidR="002967B1">
        <w:t xml:space="preserve"> utilisée pour</w:t>
      </w:r>
      <w:r w:rsidR="00AE5DC8">
        <w:t xml:space="preserve"> l’alimentation des </w:t>
      </w:r>
      <w:r w:rsidR="002967B1">
        <w:t>nourrissons</w:t>
      </w:r>
      <w:r w:rsidR="00B55D28">
        <w:t>.</w:t>
      </w:r>
    </w:p>
    <w:p w14:paraId="1B065C22" w14:textId="77777777" w:rsidR="00634760" w:rsidRDefault="00634760" w:rsidP="00D40198">
      <w:pPr>
        <w:pStyle w:val="ECEcorps"/>
      </w:pPr>
    </w:p>
    <w:p w14:paraId="4DB6880D" w14:textId="0009DB41" w:rsidR="00E31186" w:rsidRDefault="00B55D28" w:rsidP="00D40198">
      <w:pPr>
        <w:pStyle w:val="ECEcorps"/>
      </w:pPr>
      <w:r>
        <w:t>Dans ce sens, l</w:t>
      </w:r>
      <w:r w:rsidR="00B74C02">
        <w:t>’</w:t>
      </w:r>
      <w:r w:rsidR="00D22FCF">
        <w:t>OMS</w:t>
      </w:r>
      <w:r w:rsidR="00B74C02">
        <w:t xml:space="preserve">, Organisation Mondiale </w:t>
      </w:r>
      <w:r>
        <w:t>pour la Santé, préconise</w:t>
      </w:r>
      <w:r w:rsidR="002E3363">
        <w:t xml:space="preserve"> pour </w:t>
      </w:r>
      <w:r w:rsidR="00FF43F1">
        <w:t>l’alimentation</w:t>
      </w:r>
      <w:r w:rsidR="00A23DDF">
        <w:t xml:space="preserve"> quotidienne</w:t>
      </w:r>
      <w:r w:rsidR="002E3363">
        <w:t xml:space="preserve"> d’une personne sans problème de santé particulier </w:t>
      </w:r>
      <w:r>
        <w:t>une Dose Journalière Acceptable (</w:t>
      </w:r>
      <w:r w:rsidR="00D22FCF">
        <w:t>DJA</w:t>
      </w:r>
      <w:r>
        <w:t>) de 3,7</w:t>
      </w:r>
      <w:r w:rsidR="00A23DDF">
        <w:t xml:space="preserve"> </w:t>
      </w:r>
      <w:r>
        <w:t>mg de nitrate</w:t>
      </w:r>
      <w:r w:rsidR="00224BA9">
        <w:t xml:space="preserve"> par</w:t>
      </w:r>
      <w:r>
        <w:t xml:space="preserve"> kilogramme</w:t>
      </w:r>
      <w:r w:rsidR="00A23DDF">
        <w:t xml:space="preserve"> et par jour</w:t>
      </w:r>
      <w:r w:rsidR="00D22FCF">
        <w:t>.</w:t>
      </w:r>
      <w:r w:rsidR="00AE5DC8">
        <w:t xml:space="preserve"> </w:t>
      </w:r>
    </w:p>
    <w:p w14:paraId="152D0809" w14:textId="77777777" w:rsidR="00634760" w:rsidRDefault="00634760" w:rsidP="00D40198">
      <w:pPr>
        <w:pStyle w:val="ECEcorps"/>
      </w:pPr>
    </w:p>
    <w:p w14:paraId="27BEC7CB" w14:textId="4FC7F1F0" w:rsidR="00B4586C" w:rsidRPr="00E31186" w:rsidRDefault="00AE5DC8" w:rsidP="00D40198">
      <w:pPr>
        <w:pStyle w:val="ECEcorps"/>
      </w:pPr>
      <w:r>
        <w:t>D’autre part,</w:t>
      </w:r>
      <w:r w:rsidR="00C43F6C">
        <w:t xml:space="preserve"> selon les normes européennes,</w:t>
      </w:r>
      <w:r>
        <w:t xml:space="preserve"> </w:t>
      </w:r>
      <w:r w:rsidR="00E31186">
        <w:t>on considère qu’</w:t>
      </w:r>
      <w:r>
        <w:t>une eau peut être bue quotidiennement</w:t>
      </w:r>
      <w:r w:rsidR="002967B1">
        <w:t>, quand la concentration massique des ions nitrate est inférieure à 50 mg/L</w:t>
      </w:r>
      <w:r w:rsidR="003E6D3A">
        <w:t>. Au-delà,</w:t>
      </w:r>
      <w:r w:rsidR="00E31186">
        <w:t xml:space="preserve"> </w:t>
      </w:r>
      <w:r w:rsidR="00C43F6C">
        <w:t xml:space="preserve">et </w:t>
      </w:r>
      <w:r w:rsidR="00E31186">
        <w:t>si l’on ne peut pas faire autrement,</w:t>
      </w:r>
      <w:r w:rsidR="003E6D3A">
        <w:t xml:space="preserve"> </w:t>
      </w:r>
      <w:r w:rsidR="00E31186">
        <w:t>cette eau</w:t>
      </w:r>
      <w:r w:rsidR="003E6D3A">
        <w:t xml:space="preserve"> doit être réservée à une utilisation ponctuelle.</w:t>
      </w:r>
    </w:p>
    <w:p w14:paraId="12A74988" w14:textId="77777777" w:rsidR="00D22FCF" w:rsidRDefault="00D22FCF" w:rsidP="00E26870">
      <w:pPr>
        <w:pStyle w:val="ECEcorps"/>
      </w:pPr>
    </w:p>
    <w:p w14:paraId="0122F4FB" w14:textId="77777777" w:rsidR="00C60969" w:rsidRDefault="00C60969" w:rsidP="00E26870">
      <w:pPr>
        <w:pStyle w:val="ECEcorps"/>
      </w:pPr>
    </w:p>
    <w:p w14:paraId="7828E368" w14:textId="77777777" w:rsidR="00FD0DC2" w:rsidRDefault="00FD0DC2" w:rsidP="00E26870">
      <w:pPr>
        <w:pStyle w:val="ECEcorps"/>
      </w:pPr>
    </w:p>
    <w:p w14:paraId="34F97C83" w14:textId="0F6AB897" w:rsidR="00C60969" w:rsidRPr="004C63B9" w:rsidRDefault="00A23DDF" w:rsidP="00C60969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>Le but de cette épreuve est d</w:t>
      </w:r>
      <w:r w:rsidR="00AD3368">
        <w:rPr>
          <w:b/>
          <w:i/>
          <w:sz w:val="24"/>
        </w:rPr>
        <w:t>e détermi</w:t>
      </w:r>
      <w:r w:rsidR="00E8756E">
        <w:rPr>
          <w:b/>
          <w:i/>
          <w:sz w:val="24"/>
        </w:rPr>
        <w:t>ner la concentration en nitrate</w:t>
      </w:r>
      <w:r w:rsidR="00AD3368">
        <w:rPr>
          <w:b/>
          <w:i/>
          <w:sz w:val="24"/>
        </w:rPr>
        <w:t xml:space="preserve"> dans </w:t>
      </w:r>
      <w:r w:rsidR="00FD0DC2">
        <w:rPr>
          <w:b/>
          <w:i/>
          <w:sz w:val="24"/>
        </w:rPr>
        <w:t xml:space="preserve">une </w:t>
      </w:r>
      <w:r>
        <w:rPr>
          <w:b/>
          <w:i/>
          <w:sz w:val="24"/>
        </w:rPr>
        <w:t>eau</w:t>
      </w:r>
      <w:r w:rsidR="00AD3368">
        <w:rPr>
          <w:b/>
          <w:i/>
          <w:sz w:val="24"/>
        </w:rPr>
        <w:t xml:space="preserve"> </w:t>
      </w:r>
      <w:r w:rsidR="00FD0DC2">
        <w:rPr>
          <w:b/>
          <w:i/>
          <w:sz w:val="24"/>
        </w:rPr>
        <w:t>de</w:t>
      </w:r>
      <w:r>
        <w:rPr>
          <w:b/>
          <w:i/>
          <w:sz w:val="24"/>
        </w:rPr>
        <w:t xml:space="preserve"> source </w:t>
      </w:r>
      <w:r w:rsidR="00E31186">
        <w:rPr>
          <w:b/>
          <w:i/>
          <w:sz w:val="24"/>
        </w:rPr>
        <w:t>prélevée dans la nature</w:t>
      </w:r>
      <w:r w:rsidR="00FD0DC2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afin de vérifier si cette eau peut être </w:t>
      </w:r>
      <w:r w:rsidR="00AD3368">
        <w:rPr>
          <w:b/>
          <w:i/>
          <w:sz w:val="24"/>
        </w:rPr>
        <w:t xml:space="preserve">consommée </w:t>
      </w:r>
      <w:r w:rsidR="00634760">
        <w:rPr>
          <w:b/>
          <w:i/>
          <w:sz w:val="24"/>
        </w:rPr>
        <w:t>qu</w:t>
      </w:r>
      <w:r w:rsidR="00D21E91">
        <w:rPr>
          <w:b/>
          <w:i/>
          <w:sz w:val="24"/>
        </w:rPr>
        <w:t>o</w:t>
      </w:r>
      <w:r w:rsidR="00634760">
        <w:rPr>
          <w:b/>
          <w:i/>
          <w:sz w:val="24"/>
        </w:rPr>
        <w:t>tidiennement</w:t>
      </w:r>
      <w:r w:rsidR="00AD3368">
        <w:rPr>
          <w:b/>
          <w:i/>
          <w:sz w:val="24"/>
        </w:rPr>
        <w:t xml:space="preserve"> pour un</w:t>
      </w:r>
      <w:r w:rsidR="00FD0DC2">
        <w:rPr>
          <w:b/>
          <w:i/>
          <w:sz w:val="24"/>
        </w:rPr>
        <w:t xml:space="preserve"> usage exclusif.</w:t>
      </w:r>
    </w:p>
    <w:p w14:paraId="351D0299" w14:textId="77777777" w:rsidR="00C60969" w:rsidRDefault="00C60969" w:rsidP="00E26870">
      <w:pPr>
        <w:pStyle w:val="ECEcorps"/>
      </w:pPr>
    </w:p>
    <w:p w14:paraId="0EABE245" w14:textId="7B51F317" w:rsidR="007146B9" w:rsidRDefault="007146B9" w:rsidP="00E26870">
      <w:pPr>
        <w:pStyle w:val="ECEcorps"/>
        <w:rPr>
          <w:b/>
          <w:sz w:val="24"/>
          <w:szCs w:val="24"/>
          <w:u w:val="single"/>
        </w:rPr>
      </w:pPr>
    </w:p>
    <w:p w14:paraId="11E7BFB4" w14:textId="77777777" w:rsidR="00634760" w:rsidRDefault="00634760" w:rsidP="00E26870">
      <w:pPr>
        <w:pStyle w:val="ECEcorps"/>
        <w:rPr>
          <w:b/>
          <w:sz w:val="24"/>
          <w:szCs w:val="24"/>
          <w:u w:val="single"/>
        </w:rPr>
      </w:pPr>
    </w:p>
    <w:p w14:paraId="03AC457B" w14:textId="77777777" w:rsidR="00E31186" w:rsidRDefault="00E31186" w:rsidP="00E26870">
      <w:pPr>
        <w:pStyle w:val="ECEcorps"/>
        <w:rPr>
          <w:b/>
          <w:sz w:val="24"/>
          <w:szCs w:val="24"/>
          <w:u w:val="single"/>
        </w:rPr>
      </w:pP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1F8144D7" w14:textId="77777777" w:rsidR="00C60969" w:rsidRPr="00545715" w:rsidRDefault="00C60969" w:rsidP="00E26870">
      <w:pPr>
        <w:pStyle w:val="ECEcorps"/>
      </w:pPr>
    </w:p>
    <w:p w14:paraId="5E96DC78" w14:textId="0B860F72" w:rsidR="003A114B" w:rsidRPr="00AB3749" w:rsidRDefault="00D22FCF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Lie</w:t>
      </w:r>
      <w:r w:rsidR="000E6A01">
        <w:rPr>
          <w:sz w:val="24"/>
          <w:szCs w:val="24"/>
        </w:rPr>
        <w:t xml:space="preserve">n entre l’ion nitrate </w:t>
      </w:r>
      <w:r>
        <w:rPr>
          <w:sz w:val="24"/>
          <w:szCs w:val="24"/>
        </w:rPr>
        <w:t>et l’</w:t>
      </w:r>
      <w:r w:rsidR="000E6A01">
        <w:rPr>
          <w:sz w:val="24"/>
          <w:szCs w:val="24"/>
        </w:rPr>
        <w:t>ion complexe t</w:t>
      </w:r>
      <w:r w:rsidR="00634760">
        <w:rPr>
          <w:sz w:val="24"/>
          <w:szCs w:val="24"/>
        </w:rPr>
        <w:t>é</w:t>
      </w:r>
      <w:r w:rsidR="000E6A01">
        <w:rPr>
          <w:sz w:val="24"/>
          <w:szCs w:val="24"/>
        </w:rPr>
        <w:t>traamminecuivre (II)</w:t>
      </w:r>
      <w:r w:rsidR="00AB3749">
        <w:rPr>
          <w:sz w:val="24"/>
          <w:szCs w:val="24"/>
        </w:rPr>
        <w:t> </w:t>
      </w:r>
      <w:r w:rsidR="00AB3749">
        <w:rPr>
          <w:sz w:val="24"/>
          <w:szCs w:val="24"/>
          <w:u w:val="none"/>
        </w:rPr>
        <w:t>:</w:t>
      </w:r>
    </w:p>
    <w:p w14:paraId="48BAF03D" w14:textId="77777777" w:rsidR="00D22FCF" w:rsidRDefault="00D22FCF" w:rsidP="00D22FCF">
      <w:pPr>
        <w:rPr>
          <w:color w:val="auto"/>
        </w:rPr>
      </w:pPr>
    </w:p>
    <w:p w14:paraId="39D184A4" w14:textId="2B5B0CBD" w:rsidR="00B413B0" w:rsidRDefault="00D22FCF" w:rsidP="00D22FCF">
      <w:pPr>
        <w:rPr>
          <w:color w:val="auto"/>
        </w:rPr>
      </w:pPr>
      <w:r>
        <w:rPr>
          <w:color w:val="auto"/>
        </w:rPr>
        <w:t>L</w:t>
      </w:r>
      <w:r w:rsidRPr="00204CD1">
        <w:rPr>
          <w:color w:val="auto"/>
        </w:rPr>
        <w:t>e dosage</w:t>
      </w:r>
      <w:r>
        <w:rPr>
          <w:color w:val="auto"/>
        </w:rPr>
        <w:t xml:space="preserve"> direct</w:t>
      </w:r>
      <w:r w:rsidRPr="00204CD1">
        <w:rPr>
          <w:color w:val="auto"/>
        </w:rPr>
        <w:t xml:space="preserve"> des ions nitrate</w:t>
      </w:r>
      <w:r>
        <w:rPr>
          <w:color w:val="auto"/>
        </w:rPr>
        <w:t xml:space="preserve"> est difficile. </w:t>
      </w:r>
      <w:r w:rsidR="00934666">
        <w:rPr>
          <w:color w:val="auto"/>
        </w:rPr>
        <w:t>On procède donc à un</w:t>
      </w:r>
      <w:r w:rsidR="00B413B0">
        <w:rPr>
          <w:color w:val="auto"/>
        </w:rPr>
        <w:t xml:space="preserve"> dosage </w:t>
      </w:r>
      <w:r w:rsidR="00934666">
        <w:rPr>
          <w:color w:val="auto"/>
        </w:rPr>
        <w:t xml:space="preserve">en plusieurs étapes. </w:t>
      </w:r>
    </w:p>
    <w:p w14:paraId="5F046714" w14:textId="77777777" w:rsidR="00634760" w:rsidRDefault="00634760" w:rsidP="00D22FCF">
      <w:pPr>
        <w:rPr>
          <w:color w:val="auto"/>
        </w:rPr>
      </w:pPr>
    </w:p>
    <w:p w14:paraId="2D6A63AC" w14:textId="553B9ECA" w:rsidR="00D22FCF" w:rsidRPr="00204CD1" w:rsidRDefault="00934666" w:rsidP="00D22FCF">
      <w:pPr>
        <w:rPr>
          <w:color w:val="auto"/>
        </w:rPr>
      </w:pPr>
      <w:r>
        <w:rPr>
          <w:color w:val="auto"/>
        </w:rPr>
        <w:t>Dans un premier temps,</w:t>
      </w:r>
      <w:r w:rsidR="00B413B0">
        <w:rPr>
          <w:color w:val="auto"/>
        </w:rPr>
        <w:t xml:space="preserve">  en milieu acide,</w:t>
      </w:r>
      <w:r>
        <w:rPr>
          <w:color w:val="auto"/>
        </w:rPr>
        <w:t xml:space="preserve"> </w:t>
      </w:r>
      <w:r w:rsidR="00B413B0">
        <w:rPr>
          <w:color w:val="auto"/>
        </w:rPr>
        <w:t>les ions nitrates réagissent avec un excès connu de</w:t>
      </w:r>
      <w:r w:rsidR="00D22FCF" w:rsidRPr="00204CD1">
        <w:rPr>
          <w:color w:val="auto"/>
        </w:rPr>
        <w:t xml:space="preserve"> cuivre métalliqu</w:t>
      </w:r>
      <w:r w:rsidR="00B413B0">
        <w:rPr>
          <w:color w:val="auto"/>
        </w:rPr>
        <w:t>e: </w:t>
      </w:r>
    </w:p>
    <w:p w14:paraId="657E94A0" w14:textId="77777777" w:rsidR="00D22FCF" w:rsidRPr="00F36EDC" w:rsidRDefault="00D22FCF" w:rsidP="00D22FCF">
      <w:pPr>
        <w:rPr>
          <w:color w:val="auto"/>
          <w:sz w:val="8"/>
          <w:szCs w:val="8"/>
        </w:rPr>
      </w:pPr>
    </w:p>
    <w:p w14:paraId="4418A17B" w14:textId="03A40C94" w:rsidR="00D22FCF" w:rsidRPr="00D22FCF" w:rsidRDefault="00B413B0" w:rsidP="00D22FCF">
      <w:pPr>
        <w:jc w:val="center"/>
        <w:rPr>
          <w:color w:val="auto"/>
          <w:lang w:val="en-US"/>
        </w:rPr>
      </w:pPr>
      <w:r w:rsidRPr="00D22FCF">
        <w:rPr>
          <w:color w:val="auto"/>
          <w:lang w:val="en-US"/>
        </w:rPr>
        <w:t>2 NO</w:t>
      </w:r>
      <w:r w:rsidRPr="00D22FCF">
        <w:rPr>
          <w:color w:val="auto"/>
          <w:vertAlign w:val="subscript"/>
          <w:lang w:val="en-US"/>
        </w:rPr>
        <w:t>3</w:t>
      </w:r>
      <w:r w:rsidRPr="00204CD1">
        <w:rPr>
          <w:color w:val="auto"/>
          <w:vertAlign w:val="superscript"/>
          <w:lang w:val="en-US"/>
        </w:rPr>
        <w:sym w:font="Symbol" w:char="F02D"/>
      </w:r>
      <w:r w:rsidRPr="00D22FCF">
        <w:rPr>
          <w:color w:val="auto"/>
          <w:lang w:val="en-US"/>
        </w:rPr>
        <w:t xml:space="preserve"> (aq)  +</w:t>
      </w:r>
      <w:r w:rsidR="009E1809">
        <w:rPr>
          <w:color w:val="auto"/>
          <w:lang w:val="en-US"/>
        </w:rPr>
        <w:t xml:space="preserve"> </w:t>
      </w:r>
      <w:r w:rsidR="00A60CAA">
        <w:rPr>
          <w:color w:val="auto"/>
          <w:lang w:val="en-US"/>
        </w:rPr>
        <w:t xml:space="preserve"> </w:t>
      </w:r>
      <w:r w:rsidR="00D22FCF" w:rsidRPr="00D22FCF">
        <w:rPr>
          <w:color w:val="auto"/>
          <w:lang w:val="en-US"/>
        </w:rPr>
        <w:t>3 Cu (s)  +    8 H</w:t>
      </w:r>
      <w:r w:rsidR="00D22FCF" w:rsidRPr="00D22FCF">
        <w:rPr>
          <w:color w:val="auto"/>
          <w:vertAlign w:val="superscript"/>
          <w:lang w:val="en-US"/>
        </w:rPr>
        <w:t>+ </w:t>
      </w:r>
      <w:r w:rsidR="00D22FCF" w:rsidRPr="00D22FCF">
        <w:rPr>
          <w:color w:val="auto"/>
          <w:lang w:val="en-US"/>
        </w:rPr>
        <w:t xml:space="preserve">(aq) </w:t>
      </w:r>
      <w:r w:rsidR="00E701DD">
        <w:rPr>
          <w:color w:val="auto"/>
          <w:lang w:val="en-US"/>
        </w:rPr>
        <w:t xml:space="preserve"> </w:t>
      </w:r>
      <w:r w:rsidR="00D22FCF" w:rsidRPr="00D22FCF">
        <w:rPr>
          <w:color w:val="auto"/>
          <w:lang w:val="en-US"/>
        </w:rPr>
        <w:t xml:space="preserve"> </w:t>
      </w:r>
      <w:r w:rsidR="00D22FCF" w:rsidRPr="00204CD1">
        <w:rPr>
          <w:color w:val="auto"/>
          <w:lang w:val="en-US"/>
        </w:rPr>
        <w:sym w:font="Symbol" w:char="F0AE"/>
      </w:r>
      <w:r w:rsidR="00D22FCF" w:rsidRPr="00D22FCF">
        <w:rPr>
          <w:color w:val="auto"/>
          <w:lang w:val="en-US"/>
        </w:rPr>
        <w:t xml:space="preserve"> </w:t>
      </w:r>
      <w:r w:rsidR="00E701DD">
        <w:rPr>
          <w:color w:val="auto"/>
          <w:lang w:val="en-US"/>
        </w:rPr>
        <w:t xml:space="preserve"> </w:t>
      </w:r>
      <w:r w:rsidR="00D22FCF" w:rsidRPr="00D22FCF">
        <w:rPr>
          <w:color w:val="auto"/>
          <w:lang w:val="en-US"/>
        </w:rPr>
        <w:t xml:space="preserve"> 3 Cu</w:t>
      </w:r>
      <w:r w:rsidR="00D22FCF" w:rsidRPr="00D22FCF">
        <w:rPr>
          <w:color w:val="auto"/>
          <w:vertAlign w:val="superscript"/>
          <w:lang w:val="en-US"/>
        </w:rPr>
        <w:t>2+ </w:t>
      </w:r>
      <w:r w:rsidR="00D22FCF" w:rsidRPr="00D22FCF">
        <w:rPr>
          <w:color w:val="auto"/>
          <w:lang w:val="en-US"/>
        </w:rPr>
        <w:t xml:space="preserve">(aq) </w:t>
      </w:r>
      <w:r>
        <w:rPr>
          <w:color w:val="auto"/>
          <w:lang w:val="en-US"/>
        </w:rPr>
        <w:t xml:space="preserve"> </w:t>
      </w:r>
      <w:r w:rsidRPr="00D22FCF">
        <w:rPr>
          <w:color w:val="auto"/>
          <w:lang w:val="en-US"/>
        </w:rPr>
        <w:t>+  2 NO (g)</w:t>
      </w:r>
      <w:r w:rsidR="00D22FCF" w:rsidRPr="00D22FCF">
        <w:rPr>
          <w:color w:val="auto"/>
          <w:lang w:val="en-US"/>
        </w:rPr>
        <w:t xml:space="preserve"> + 4 H</w:t>
      </w:r>
      <w:r w:rsidR="00D22FCF" w:rsidRPr="00D22FCF">
        <w:rPr>
          <w:color w:val="auto"/>
          <w:vertAlign w:val="subscript"/>
          <w:lang w:val="en-US"/>
        </w:rPr>
        <w:t>2</w:t>
      </w:r>
      <w:r w:rsidR="00D22FCF" w:rsidRPr="00D22FCF">
        <w:rPr>
          <w:color w:val="auto"/>
          <w:lang w:val="en-US"/>
        </w:rPr>
        <w:t>O (</w:t>
      </w:r>
      <w:r w:rsidRPr="004158D2">
        <w:rPr>
          <w:rFonts w:ascii="Courier New" w:hAnsi="Courier New" w:cs="Courier New"/>
          <w:color w:val="auto"/>
          <w:sz w:val="28"/>
          <w:szCs w:val="28"/>
          <w:lang w:val="en-US"/>
        </w:rPr>
        <w:t>ℓ</w:t>
      </w:r>
      <w:r w:rsidR="00D22FCF" w:rsidRPr="00D22FCF">
        <w:rPr>
          <w:color w:val="auto"/>
          <w:lang w:val="en-US"/>
        </w:rPr>
        <w:t xml:space="preserve">)  </w:t>
      </w:r>
    </w:p>
    <w:p w14:paraId="5E8CC0EC" w14:textId="77777777" w:rsidR="00D22FCF" w:rsidRPr="00B413B0" w:rsidRDefault="00D22FCF" w:rsidP="00D22FCF">
      <w:pPr>
        <w:rPr>
          <w:color w:val="auto"/>
          <w:lang w:val="en-US"/>
        </w:rPr>
      </w:pPr>
    </w:p>
    <w:p w14:paraId="58D1F52D" w14:textId="2B7341B3" w:rsidR="00D22FCF" w:rsidRDefault="008139E7" w:rsidP="00D22FCF">
      <w:pPr>
        <w:rPr>
          <w:color w:val="auto"/>
        </w:rPr>
      </w:pPr>
      <w:r w:rsidRPr="008139E7">
        <w:rPr>
          <w:color w:val="auto"/>
        </w:rPr>
        <w:t>Dans un deuxième temps,</w:t>
      </w:r>
      <w:r>
        <w:rPr>
          <w:color w:val="auto"/>
        </w:rPr>
        <w:t xml:space="preserve"> une solution aqueuse d’ammoniaque est ajoutée</w:t>
      </w:r>
      <w:r w:rsidR="000E6A01">
        <w:rPr>
          <w:color w:val="auto"/>
        </w:rPr>
        <w:t xml:space="preserve"> en excès</w:t>
      </w:r>
      <w:r>
        <w:rPr>
          <w:color w:val="auto"/>
        </w:rPr>
        <w:t xml:space="preserve">. </w:t>
      </w:r>
      <w:r w:rsidR="000E6A01">
        <w:rPr>
          <w:color w:val="auto"/>
        </w:rPr>
        <w:t>Un ion</w:t>
      </w:r>
      <w:r w:rsidR="00224BA9">
        <w:rPr>
          <w:color w:val="auto"/>
        </w:rPr>
        <w:t xml:space="preserve"> </w:t>
      </w:r>
      <w:r w:rsidR="00634760" w:rsidRPr="00D21E91">
        <w:rPr>
          <w:color w:val="auto"/>
        </w:rPr>
        <w:t>Cu</w:t>
      </w:r>
      <w:r w:rsidR="00634760" w:rsidRPr="00D21E91">
        <w:rPr>
          <w:color w:val="auto"/>
          <w:vertAlign w:val="superscript"/>
        </w:rPr>
        <w:t>2+</w:t>
      </w:r>
      <w:r w:rsidR="00224BA9">
        <w:rPr>
          <w:color w:val="auto"/>
        </w:rPr>
        <w:t xml:space="preserve"> formé</w:t>
      </w:r>
      <w:r>
        <w:rPr>
          <w:color w:val="auto"/>
        </w:rPr>
        <w:t xml:space="preserve"> à l’étape précédente s’associ</w:t>
      </w:r>
      <w:r w:rsidR="000E6A01">
        <w:rPr>
          <w:color w:val="auto"/>
        </w:rPr>
        <w:t>e alors à quatre</w:t>
      </w:r>
      <w:r>
        <w:rPr>
          <w:color w:val="auto"/>
        </w:rPr>
        <w:t xml:space="preserve"> molécules</w:t>
      </w:r>
      <w:r w:rsidR="00845581">
        <w:rPr>
          <w:color w:val="auto"/>
        </w:rPr>
        <w:t xml:space="preserve"> d’ammoniac</w:t>
      </w:r>
      <w:r>
        <w:rPr>
          <w:color w:val="auto"/>
        </w:rPr>
        <w:t xml:space="preserve"> </w:t>
      </w:r>
      <w:r w:rsidRPr="00204CD1">
        <w:rPr>
          <w:color w:val="auto"/>
        </w:rPr>
        <w:t>NH</w:t>
      </w:r>
      <w:r w:rsidRPr="00204CD1">
        <w:rPr>
          <w:color w:val="auto"/>
          <w:vertAlign w:val="subscript"/>
        </w:rPr>
        <w:t>3</w:t>
      </w:r>
      <w:r>
        <w:rPr>
          <w:color w:val="auto"/>
        </w:rPr>
        <w:t xml:space="preserve"> pour</w:t>
      </w:r>
      <w:r w:rsidR="000E6A01">
        <w:rPr>
          <w:color w:val="auto"/>
        </w:rPr>
        <w:t xml:space="preserve"> former un</w:t>
      </w:r>
      <w:r w:rsidR="00845581">
        <w:rPr>
          <w:color w:val="auto"/>
        </w:rPr>
        <w:t xml:space="preserve"> </w:t>
      </w:r>
      <w:r w:rsidR="00D22FCF" w:rsidRPr="00204CD1">
        <w:rPr>
          <w:color w:val="auto"/>
        </w:rPr>
        <w:t>ion complexe</w:t>
      </w:r>
      <w:r w:rsidR="000E6A01">
        <w:rPr>
          <w:color w:val="auto"/>
        </w:rPr>
        <w:t xml:space="preserve"> </w:t>
      </w:r>
      <w:r w:rsidR="00D22FCF" w:rsidRPr="00204CD1">
        <w:rPr>
          <w:color w:val="auto"/>
        </w:rPr>
        <w:t>tétraamminecuivre</w:t>
      </w:r>
      <w:r w:rsidR="00D22FCF">
        <w:rPr>
          <w:color w:val="auto"/>
        </w:rPr>
        <w:t> </w:t>
      </w:r>
      <w:r>
        <w:rPr>
          <w:color w:val="auto"/>
        </w:rPr>
        <w:t>(II)</w:t>
      </w:r>
      <w:r w:rsidR="004158D2">
        <w:rPr>
          <w:color w:val="auto"/>
        </w:rPr>
        <w:t xml:space="preserve"> qui donne la couleur bleue à la solution (les autres espèces chimiques étant incolores)</w:t>
      </w:r>
      <w:r w:rsidR="00D22FCF" w:rsidRPr="00204CD1">
        <w:rPr>
          <w:color w:val="auto"/>
        </w:rPr>
        <w:t> :</w:t>
      </w:r>
    </w:p>
    <w:p w14:paraId="09B79837" w14:textId="77777777" w:rsidR="00D22FCF" w:rsidRPr="00F36EDC" w:rsidRDefault="00D22FCF" w:rsidP="00D22FCF">
      <w:pPr>
        <w:rPr>
          <w:color w:val="auto"/>
          <w:sz w:val="8"/>
          <w:szCs w:val="8"/>
        </w:rPr>
      </w:pPr>
    </w:p>
    <w:p w14:paraId="635739CA" w14:textId="6DD39CD5" w:rsidR="00D22FCF" w:rsidRPr="00204CD1" w:rsidRDefault="00D22FCF" w:rsidP="00D22FCF">
      <w:pPr>
        <w:jc w:val="center"/>
        <w:rPr>
          <w:color w:val="auto"/>
        </w:rPr>
      </w:pPr>
      <w:r w:rsidRPr="00204CD1">
        <w:rPr>
          <w:color w:val="auto"/>
        </w:rPr>
        <w:t>Cu</w:t>
      </w:r>
      <w:r w:rsidRPr="00204CD1">
        <w:rPr>
          <w:color w:val="auto"/>
          <w:vertAlign w:val="superscript"/>
        </w:rPr>
        <w:t>2+ </w:t>
      </w:r>
      <w:r w:rsidRPr="00204CD1">
        <w:rPr>
          <w:color w:val="auto"/>
        </w:rPr>
        <w:t>(aq)  +</w:t>
      </w:r>
      <w:r w:rsidR="009E1809">
        <w:rPr>
          <w:color w:val="auto"/>
        </w:rPr>
        <w:t xml:space="preserve"> </w:t>
      </w:r>
      <w:r w:rsidRPr="00204CD1">
        <w:rPr>
          <w:color w:val="auto"/>
        </w:rPr>
        <w:t xml:space="preserve"> 4 NH</w:t>
      </w:r>
      <w:r w:rsidRPr="00204CD1">
        <w:rPr>
          <w:color w:val="auto"/>
          <w:vertAlign w:val="subscript"/>
        </w:rPr>
        <w:t>3</w:t>
      </w:r>
      <w:r w:rsidRPr="00204CD1">
        <w:rPr>
          <w:color w:val="auto"/>
        </w:rPr>
        <w:t xml:space="preserve"> (aq)  </w:t>
      </w:r>
      <w:r w:rsidRPr="00204CD1">
        <w:rPr>
          <w:color w:val="auto"/>
          <w:lang w:val="en-US"/>
        </w:rPr>
        <w:sym w:font="Symbol" w:char="F0AE"/>
      </w:r>
      <w:r w:rsidRPr="00204CD1">
        <w:rPr>
          <w:color w:val="auto"/>
        </w:rPr>
        <w:t xml:space="preserve"> </w:t>
      </w:r>
      <w:r w:rsidR="009E1809">
        <w:rPr>
          <w:color w:val="auto"/>
        </w:rPr>
        <w:t xml:space="preserve"> </w:t>
      </w:r>
      <w:r w:rsidRPr="00204CD1">
        <w:rPr>
          <w:color w:val="auto"/>
        </w:rPr>
        <w:t>Cu(NH</w:t>
      </w:r>
      <w:r w:rsidRPr="00204CD1">
        <w:rPr>
          <w:color w:val="auto"/>
          <w:vertAlign w:val="subscript"/>
        </w:rPr>
        <w:t>3</w:t>
      </w:r>
      <w:r w:rsidRPr="00204CD1">
        <w:rPr>
          <w:color w:val="auto"/>
        </w:rPr>
        <w:t>)</w:t>
      </w:r>
      <w:r w:rsidRPr="00204CD1">
        <w:rPr>
          <w:color w:val="auto"/>
          <w:vertAlign w:val="subscript"/>
        </w:rPr>
        <w:t>4</w:t>
      </w:r>
      <w:r w:rsidRPr="00204CD1">
        <w:rPr>
          <w:color w:val="auto"/>
          <w:vertAlign w:val="superscript"/>
        </w:rPr>
        <w:t>2+</w:t>
      </w:r>
      <w:r w:rsidRPr="00204CD1">
        <w:rPr>
          <w:color w:val="auto"/>
          <w:vertAlign w:val="subscript"/>
        </w:rPr>
        <w:t> </w:t>
      </w:r>
      <w:r w:rsidRPr="00204CD1">
        <w:rPr>
          <w:color w:val="auto"/>
        </w:rPr>
        <w:t>(aq)</w:t>
      </w:r>
    </w:p>
    <w:p w14:paraId="2450E2FC" w14:textId="77777777" w:rsidR="00D22FCF" w:rsidRPr="00204CD1" w:rsidRDefault="00D22FCF" w:rsidP="00D22FCF"/>
    <w:p w14:paraId="0F8FF242" w14:textId="43D57F20" w:rsidR="00D67FB9" w:rsidRDefault="004158D2" w:rsidP="00D22FCF">
      <w:pPr>
        <w:rPr>
          <w:color w:val="auto"/>
        </w:rPr>
      </w:pPr>
      <w:r>
        <w:rPr>
          <w:color w:val="auto"/>
        </w:rPr>
        <w:t xml:space="preserve">La solution ainsi préparée est notée </w:t>
      </w:r>
      <w:r w:rsidRPr="004158D2">
        <w:rPr>
          <w:b/>
          <w:color w:val="auto"/>
        </w:rPr>
        <w:t>(S</w:t>
      </w:r>
      <w:r w:rsidRPr="004158D2">
        <w:rPr>
          <w:b/>
          <w:color w:val="auto"/>
          <w:vertAlign w:val="subscript"/>
        </w:rPr>
        <w:t>eau</w:t>
      </w:r>
      <w:r>
        <w:rPr>
          <w:b/>
          <w:color w:val="auto"/>
        </w:rPr>
        <w:t>)</w:t>
      </w:r>
      <w:r w:rsidRPr="004158D2">
        <w:rPr>
          <w:color w:val="auto"/>
        </w:rPr>
        <w:t>.</w:t>
      </w:r>
      <w:r w:rsidR="000E6A01" w:rsidRPr="004158D2">
        <w:rPr>
          <w:color w:val="auto"/>
        </w:rPr>
        <w:t xml:space="preserve"> </w:t>
      </w:r>
      <w:r w:rsidR="00E8756E">
        <w:rPr>
          <w:color w:val="auto"/>
        </w:rPr>
        <w:t>C’est cette solution qui doit être dosée par spectrophotométrie.</w:t>
      </w:r>
    </w:p>
    <w:p w14:paraId="5A09FE30" w14:textId="77777777" w:rsidR="00D67FB9" w:rsidRDefault="00D67FB9" w:rsidP="00D22FCF">
      <w:pPr>
        <w:rPr>
          <w:color w:val="auto"/>
        </w:rPr>
      </w:pPr>
    </w:p>
    <w:p w14:paraId="4E20A6E7" w14:textId="4F7109FF" w:rsidR="00D22FCF" w:rsidRPr="00204CD1" w:rsidRDefault="00845581" w:rsidP="00D22FCF">
      <w:pPr>
        <w:rPr>
          <w:color w:val="auto"/>
        </w:rPr>
      </w:pPr>
      <w:r>
        <w:rPr>
          <w:color w:val="auto"/>
        </w:rPr>
        <w:t>Dans ce contexte, l</w:t>
      </w:r>
      <w:r w:rsidR="00B74C02">
        <w:rPr>
          <w:color w:val="auto"/>
        </w:rPr>
        <w:t xml:space="preserve">a </w:t>
      </w:r>
      <w:r w:rsidR="00D67FB9">
        <w:rPr>
          <w:color w:val="auto"/>
        </w:rPr>
        <w:t>concentration molaire</w:t>
      </w:r>
      <w:r w:rsidR="00EB30F0">
        <w:rPr>
          <w:color w:val="auto"/>
        </w:rPr>
        <w:t xml:space="preserve"> en ion</w:t>
      </w:r>
      <w:r w:rsidR="00D22FCF" w:rsidRPr="00204CD1">
        <w:rPr>
          <w:color w:val="auto"/>
        </w:rPr>
        <w:t xml:space="preserve"> nitrate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vertAlign w:val="subscript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O</m:t>
                </m: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3</m:t>
                </m: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-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aq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22FCF" w:rsidRPr="00204CD1">
        <w:rPr>
          <w:color w:val="auto"/>
        </w:rPr>
        <w:t xml:space="preserve">de </w:t>
      </w:r>
      <w:r w:rsidR="00D67FB9">
        <w:rPr>
          <w:color w:val="auto"/>
        </w:rPr>
        <w:t>l</w:t>
      </w:r>
      <w:r w:rsidR="00D22FCF" w:rsidRPr="00204CD1">
        <w:rPr>
          <w:color w:val="auto"/>
        </w:rPr>
        <w:t>’eau</w:t>
      </w:r>
      <w:r w:rsidR="00A834A5">
        <w:rPr>
          <w:color w:val="auto"/>
        </w:rPr>
        <w:t xml:space="preserve"> de source</w:t>
      </w:r>
      <w:r w:rsidR="00D67FB9">
        <w:rPr>
          <w:color w:val="auto"/>
        </w:rPr>
        <w:t xml:space="preserve"> </w:t>
      </w:r>
      <w:r w:rsidR="00D22FCF">
        <w:rPr>
          <w:color w:val="auto"/>
        </w:rPr>
        <w:t>prélevé</w:t>
      </w:r>
      <w:r w:rsidR="00A834A5">
        <w:rPr>
          <w:color w:val="auto"/>
        </w:rPr>
        <w:t xml:space="preserve">e dans la nature </w:t>
      </w:r>
      <w:r w:rsidR="00B74C02">
        <w:rPr>
          <w:color w:val="auto"/>
        </w:rPr>
        <w:t xml:space="preserve">et </w:t>
      </w:r>
      <w:r w:rsidR="00D67FB9">
        <w:rPr>
          <w:color w:val="auto"/>
        </w:rPr>
        <w:t>l</w:t>
      </w:r>
      <w:r w:rsidR="00D67FB9" w:rsidRPr="00204CD1">
        <w:rPr>
          <w:color w:val="auto"/>
        </w:rPr>
        <w:t>a concentration molaire en ion comp</w:t>
      </w:r>
      <w:r w:rsidR="00D67FB9">
        <w:rPr>
          <w:color w:val="auto"/>
        </w:rPr>
        <w:t>lexe tétraamminecuivre (II)</w:t>
      </w:r>
      <w:r w:rsidR="00B74C02">
        <w:rPr>
          <w:color w:val="auto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Cu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vertAlign w:val="superscript"/>
                    <w:lang w:val="en-US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3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b/>
                    <w:i/>
                    <w:vertAlign w:val="subscript"/>
                    <w:lang w:val="en-US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4</m:t>
                </m:r>
                <m:ctrlPr>
                  <w:rPr>
                    <w:rFonts w:ascii="Cambria Math" w:hAnsi="Cambria Math"/>
                    <w:b/>
                    <w:i/>
                    <w:vertAlign w:val="subscript"/>
                    <w:lang w:val="en-US"/>
                  </w:rPr>
                </m:ctrlP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vertAlign w:val="superscript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perscript"/>
                  </w:rPr>
                  <m:t>+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aq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4158D2">
        <w:rPr>
          <w:color w:val="auto"/>
        </w:rPr>
        <w:t xml:space="preserve">dans la solution </w:t>
      </w:r>
      <w:r w:rsidR="004158D2" w:rsidRPr="004158D2">
        <w:rPr>
          <w:b/>
          <w:color w:val="auto"/>
        </w:rPr>
        <w:t>(S</w:t>
      </w:r>
      <w:r w:rsidR="004158D2" w:rsidRPr="004158D2">
        <w:rPr>
          <w:b/>
          <w:color w:val="auto"/>
          <w:vertAlign w:val="subscript"/>
        </w:rPr>
        <w:t>eau</w:t>
      </w:r>
      <w:r w:rsidR="004158D2" w:rsidRPr="004158D2">
        <w:rPr>
          <w:b/>
          <w:color w:val="auto"/>
        </w:rPr>
        <w:t>)</w:t>
      </w:r>
      <w:r w:rsidR="004158D2">
        <w:rPr>
          <w:color w:val="auto"/>
        </w:rPr>
        <w:t xml:space="preserve"> s</w:t>
      </w:r>
      <w:r w:rsidR="00B74C02">
        <w:rPr>
          <w:color w:val="auto"/>
        </w:rPr>
        <w:t>ont reliées par la relation ci-dessous :</w:t>
      </w:r>
    </w:p>
    <w:p w14:paraId="55AFBF16" w14:textId="77777777" w:rsidR="00D22FCF" w:rsidRPr="00F36EDC" w:rsidRDefault="00D22FCF" w:rsidP="00D22FCF">
      <w:pPr>
        <w:rPr>
          <w:sz w:val="8"/>
          <w:szCs w:val="8"/>
        </w:rPr>
      </w:pPr>
    </w:p>
    <w:p w14:paraId="0DAC7DFF" w14:textId="64C026BC" w:rsidR="00D22FCF" w:rsidRPr="00D22FCF" w:rsidRDefault="00847ABA" w:rsidP="00847ABA">
      <w:pPr>
        <w:jc w:val="center"/>
      </w:pPr>
      <m:oMath>
        <m:r>
          <m:rPr>
            <m:sty m:val="b"/>
          </m:rPr>
          <w:rPr>
            <w:rFonts w:ascii="Cambria Math" w:hAnsi="Cambria Math"/>
          </w:rPr>
          <m:t xml:space="preserve"> [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  <m:sSubSup>
          <m:sSubSupPr>
            <m:ctrlPr>
              <w:rPr>
                <w:rFonts w:ascii="Cambria Math" w:hAnsi="Cambria Math"/>
                <w:b/>
                <w:i/>
                <w:vertAlign w:val="subscript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O</m:t>
            </m:r>
            <m:ctrlPr>
              <w:rPr>
                <w:rFonts w:ascii="Cambria Math" w:hAnsi="Cambria Math"/>
                <w:b/>
                <w:i/>
                <w:lang w:val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  <m:ctrlPr>
              <w:rPr>
                <w:rFonts w:ascii="Cambria Math" w:hAnsi="Cambria Math"/>
                <w:b/>
                <w:i/>
                <w:lang w:val="en-US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-</m:t>
            </m:r>
          </m:sup>
        </m:sSubSup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aq</m:t>
        </m:r>
        <m:r>
          <w:rPr>
            <w:rFonts w:ascii="Cambria Math" w:hAnsi="Cambria Math"/>
          </w:rPr>
          <m:t>)</m:t>
        </m:r>
        <m:r>
          <m:rPr>
            <m:sty m:val="b"/>
          </m:rPr>
          <w:rPr>
            <w:rFonts w:ascii="Cambria Math" w:hAnsi="Cambria Math"/>
          </w:rPr>
          <m:t>] 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×</m:t>
        </m:r>
        <m:r>
          <m:rPr>
            <m:sty m:val="b"/>
          </m:rPr>
          <w:rPr>
            <w:rFonts w:ascii="Cambria Math" w:hAnsi="Cambria Math"/>
          </w:rPr>
          <m:t>[</m:t>
        </m:r>
        <m:r>
          <m:rPr>
            <m:sty m:val="bi"/>
          </m:rPr>
          <w:rPr>
            <w:rFonts w:ascii="Cambria Math" w:hAnsi="Cambria Math"/>
            <w:lang w:val="en-US"/>
          </w:rPr>
          <m:t>Cu</m:t>
        </m:r>
        <m:sSubSup>
          <m:sSubSupPr>
            <m:ctrlPr>
              <w:rPr>
                <w:rFonts w:ascii="Cambria Math" w:hAnsi="Cambria Math"/>
                <w:b/>
                <w:i/>
                <w:vertAlign w:val="superscript"/>
                <w:lang w:val="en-US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bscript"/>
                        <w:lang w:val="en-US"/>
                      </w:rPr>
                      <m:t>3</m:t>
                    </m:r>
                  </m:sub>
                </m:sSub>
              </m:e>
            </m:d>
            <m:ctrlPr>
              <w:rPr>
                <w:rFonts w:ascii="Cambria Math" w:hAnsi="Cambria Math"/>
                <w:b/>
                <w:i/>
                <w:vertAlign w:val="subscript"/>
                <w:lang w:val="en-US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  <w:lang w:val="en-US"/>
              </w:rPr>
              <m:t>4</m:t>
            </m:r>
            <m:ctrlPr>
              <w:rPr>
                <w:rFonts w:ascii="Cambria Math" w:hAnsi="Cambria Math"/>
                <w:b/>
                <w:i/>
                <w:vertAlign w:val="subscript"/>
                <w:lang w:val="en-US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+</m:t>
            </m:r>
          </m:sup>
        </m:sSubSup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aq</m:t>
        </m:r>
        <m:r>
          <w:rPr>
            <w:rFonts w:ascii="Cambria Math" w:hAnsi="Cambria Math"/>
          </w:rPr>
          <m:t>)</m:t>
        </m:r>
        <m:r>
          <m:rPr>
            <m:sty m:val="b"/>
          </m:rPr>
          <w:rPr>
            <w:rFonts w:ascii="Cambria Math" w:hAnsi="Cambria Math"/>
          </w:rPr>
          <m:t>]</m:t>
        </m:r>
      </m:oMath>
      <w:r w:rsidR="00E31186" w:rsidRPr="00E31186">
        <w:rPr>
          <w:b/>
        </w:rPr>
        <w:t xml:space="preserve"> </w:t>
      </w:r>
      <w:r w:rsidR="00E31186" w:rsidRPr="00E31186">
        <w:t>.</w:t>
      </w:r>
      <m:oMath>
        <m:r>
          <m:rPr>
            <m:sty m:val="p"/>
          </m:rPr>
          <w:br/>
        </m:r>
      </m:oMath>
    </w:p>
    <w:p w14:paraId="7BC90219" w14:textId="77777777" w:rsidR="007E7114" w:rsidRDefault="007E7114" w:rsidP="007E7114">
      <w:pPr>
        <w:pStyle w:val="ECEcorps"/>
      </w:pPr>
    </w:p>
    <w:p w14:paraId="5326817A" w14:textId="62764740" w:rsidR="003A114B" w:rsidRPr="00136091" w:rsidRDefault="00E8756E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Spectre d’absorption d’une </w:t>
      </w:r>
      <w:r w:rsidR="00B74C02">
        <w:rPr>
          <w:sz w:val="24"/>
          <w:szCs w:val="24"/>
        </w:rPr>
        <w:t>solution (S) de l’ion complexe t</w:t>
      </w:r>
      <w:r w:rsidR="00DB1968">
        <w:rPr>
          <w:sz w:val="24"/>
          <w:szCs w:val="24"/>
        </w:rPr>
        <w:t>étraammine</w:t>
      </w:r>
      <w:r w:rsidR="00B74C02">
        <w:rPr>
          <w:sz w:val="24"/>
          <w:szCs w:val="24"/>
        </w:rPr>
        <w:t>cuivre (II)</w:t>
      </w:r>
      <w:r w:rsidR="003A114B" w:rsidRPr="00136091">
        <w:rPr>
          <w:sz w:val="24"/>
          <w:szCs w:val="24"/>
          <w:u w:val="none"/>
        </w:rPr>
        <w:t xml:space="preserve"> : </w:t>
      </w:r>
    </w:p>
    <w:p w14:paraId="54F4085E" w14:textId="356923E5" w:rsidR="00975918" w:rsidRDefault="00975918" w:rsidP="00E26870">
      <w:pPr>
        <w:pStyle w:val="ECEcorps"/>
      </w:pPr>
    </w:p>
    <w:p w14:paraId="37E92EC5" w14:textId="165570BD" w:rsidR="003A114B" w:rsidRDefault="00AE5DC8" w:rsidP="00AE5DC8">
      <w:pPr>
        <w:pStyle w:val="ECEcorps"/>
        <w:jc w:val="center"/>
      </w:pPr>
      <w:r>
        <w:rPr>
          <w:noProof/>
        </w:rPr>
        <w:drawing>
          <wp:inline distT="0" distB="0" distL="0" distR="0" wp14:anchorId="2EC39C84" wp14:editId="60CD46BC">
            <wp:extent cx="3364173" cy="255363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eA-lamb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08" cy="255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70C8" w14:textId="77777777" w:rsidR="00CC2D98" w:rsidRDefault="00CC2D98" w:rsidP="00C60969">
      <w:pPr>
        <w:pStyle w:val="ECEtitre"/>
        <w:rPr>
          <w:sz w:val="24"/>
          <w:szCs w:val="24"/>
        </w:rPr>
      </w:pPr>
    </w:p>
    <w:p w14:paraId="7EC59528" w14:textId="2F449B9C" w:rsidR="00C60969" w:rsidRPr="00136091" w:rsidRDefault="00C60969" w:rsidP="00C60969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>Données utiles</w:t>
      </w:r>
      <w:r w:rsidRPr="00136091">
        <w:rPr>
          <w:sz w:val="24"/>
          <w:szCs w:val="24"/>
          <w:u w:val="none"/>
        </w:rPr>
        <w:t xml:space="preserve"> </w:t>
      </w:r>
    </w:p>
    <w:p w14:paraId="7CF82041" w14:textId="32DB079D" w:rsidR="00C60969" w:rsidRPr="007955D1" w:rsidRDefault="00C60969" w:rsidP="00C60969">
      <w:pPr>
        <w:pStyle w:val="ECEcorps"/>
        <w:rPr>
          <w:highlight w:val="yellow"/>
        </w:rPr>
      </w:pPr>
    </w:p>
    <w:p w14:paraId="03AA9E1C" w14:textId="7BD3C2DB" w:rsidR="009721BE" w:rsidRDefault="0036565C" w:rsidP="0036565C">
      <w:pPr>
        <w:pStyle w:val="ECEcorps"/>
        <w:numPr>
          <w:ilvl w:val="0"/>
          <w:numId w:val="10"/>
        </w:numPr>
      </w:pPr>
      <w:r>
        <w:t>Masse molaire</w:t>
      </w:r>
      <w:r w:rsidR="00604CAE">
        <w:t> des ions nitrate</w:t>
      </w:r>
      <w:r w:rsidR="00DB1968">
        <w:t xml:space="preserve">s </w:t>
      </w:r>
      <w:r w:rsidR="00604CAE">
        <w:t xml:space="preserve">: </w:t>
      </w:r>
      <w:r w:rsidR="00EF233B" w:rsidRPr="00634760">
        <w:rPr>
          <w:i/>
        </w:rPr>
        <w:t>M</w:t>
      </w:r>
      <w:r w:rsidR="00EF233B" w:rsidRPr="00634760">
        <w:t>(NO</w:t>
      </w:r>
      <w:r w:rsidR="00EF233B" w:rsidRPr="00634760">
        <w:rPr>
          <w:vertAlign w:val="subscript"/>
        </w:rPr>
        <w:t>3</w:t>
      </w:r>
      <w:r w:rsidR="00EF233B" w:rsidRPr="00634760">
        <w:rPr>
          <w:vertAlign w:val="superscript"/>
        </w:rPr>
        <w:t>–</w:t>
      </w:r>
      <w:r w:rsidR="00EF233B" w:rsidRPr="00634760">
        <w:t>) =</w:t>
      </w:r>
      <w:r w:rsidR="00EF233B">
        <w:t xml:space="preserve"> </w:t>
      </w:r>
      <w:r w:rsidR="00604CAE">
        <w:t>62</w:t>
      </w:r>
      <w:r w:rsidR="009721BE">
        <w:t>,0 g/mol</w:t>
      </w:r>
      <w:r w:rsidR="00A55BF0">
        <w:t xml:space="preserve"> </w:t>
      </w:r>
    </w:p>
    <w:p w14:paraId="2EB9CB5D" w14:textId="666888F4" w:rsidR="00B4586C" w:rsidRDefault="00847ABA" w:rsidP="00B4586C">
      <w:pPr>
        <w:pStyle w:val="ECEcorps"/>
        <w:numPr>
          <w:ilvl w:val="0"/>
          <w:numId w:val="10"/>
        </w:numPr>
      </w:pPr>
      <w:r>
        <w:t>DJA de l’OMS sur les ions nitrates</w:t>
      </w:r>
      <w:r w:rsidR="009721BE">
        <w:t xml:space="preserve"> pour une alimentation quotidienne : 3,7 mg/kg/jour</w:t>
      </w:r>
      <w:r w:rsidR="002C4762">
        <w:t>. On peut donc consommer 3,7 mg de nitrate par kilogramme de masse corporelle et par jour.</w:t>
      </w:r>
    </w:p>
    <w:p w14:paraId="1B69BB6B" w14:textId="3B9E4CAF" w:rsidR="00D9338B" w:rsidRDefault="00E8756E" w:rsidP="003D4E9F">
      <w:pPr>
        <w:pStyle w:val="ECEcorps"/>
        <w:numPr>
          <w:ilvl w:val="0"/>
          <w:numId w:val="10"/>
        </w:numPr>
      </w:pPr>
      <w:r>
        <w:t>Selon les normes européen</w:t>
      </w:r>
      <w:r w:rsidR="0068242C">
        <w:t>ne</w:t>
      </w:r>
      <w:r>
        <w:t>s,</w:t>
      </w:r>
      <w:r w:rsidR="0068242C">
        <w:t xml:space="preserve"> </w:t>
      </w:r>
      <w:r w:rsidR="00224BA9">
        <w:t xml:space="preserve">une </w:t>
      </w:r>
      <w:r w:rsidR="00D17C10">
        <w:t>eau peut être utilisée quotidiennement</w:t>
      </w:r>
      <w:r w:rsidR="002C4762">
        <w:t xml:space="preserve"> si s</w:t>
      </w:r>
      <w:r w:rsidR="0068242C">
        <w:t>a concentr</w:t>
      </w:r>
      <w:r w:rsidR="002C4762">
        <w:t>ation massique en</w:t>
      </w:r>
      <w:r>
        <w:t xml:space="preserve"> ions nitrate</w:t>
      </w:r>
      <w:r w:rsidR="0068242C">
        <w:t xml:space="preserve"> est inférieure à 50 mg/L</w:t>
      </w:r>
      <w:r w:rsidR="00C16032">
        <w:t xml:space="preserve"> (eau potable)</w:t>
      </w:r>
      <w:r w:rsidR="0068242C">
        <w:t>.</w:t>
      </w:r>
      <w:r w:rsidR="00AE5DC8">
        <w:t xml:space="preserve"> </w:t>
      </w:r>
      <w:r w:rsidR="00D17C10">
        <w:t>Au-delà de cette valeur, entre 50 et 100 mg/L</w:t>
      </w:r>
      <w:r>
        <w:t xml:space="preserve"> par exemple,</w:t>
      </w:r>
      <w:r w:rsidR="00D17C10">
        <w:t xml:space="preserve"> un usage ponctuel est recommandé</w:t>
      </w:r>
      <w:r w:rsidR="008E6EA4">
        <w:t xml:space="preserve"> sauf pour l’alimentation des nourrissons et </w:t>
      </w:r>
      <w:r w:rsidR="00224BA9">
        <w:t>d</w:t>
      </w:r>
      <w:r w:rsidR="008E6EA4">
        <w:t>es femmes enceintes</w:t>
      </w:r>
      <w:r w:rsidR="002873BC">
        <w:t>.</w:t>
      </w:r>
    </w:p>
    <w:p w14:paraId="5C89ED62" w14:textId="77777777" w:rsidR="00D17C10" w:rsidRDefault="00D17C10" w:rsidP="00D17C10">
      <w:pPr>
        <w:pStyle w:val="ECEcorps"/>
      </w:pPr>
    </w:p>
    <w:p w14:paraId="3264AD29" w14:textId="77777777" w:rsidR="00D17C10" w:rsidRDefault="00D17C10" w:rsidP="00D17C10">
      <w:pPr>
        <w:pStyle w:val="ECEcorps"/>
      </w:pPr>
    </w:p>
    <w:p w14:paraId="5B53BF3B" w14:textId="77777777" w:rsidR="00D17C10" w:rsidRDefault="00D17C10" w:rsidP="00D17C10">
      <w:pPr>
        <w:pStyle w:val="ECEcorps"/>
      </w:pPr>
    </w:p>
    <w:p w14:paraId="36DC2342" w14:textId="77777777" w:rsidR="00D17C10" w:rsidRDefault="00D17C10" w:rsidP="00D17C10">
      <w:pPr>
        <w:pStyle w:val="ECEcorps"/>
      </w:pPr>
    </w:p>
    <w:p w14:paraId="4247B53D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2688FF87" w:rsidR="00E26870" w:rsidRPr="00452138" w:rsidRDefault="00AD3368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>Détermina</w:t>
      </w:r>
      <w:r w:rsidR="00426778">
        <w:t>tion de la concentration des ions complexes tetraamminecuivre</w:t>
      </w:r>
      <w:r w:rsidR="002A25F7">
        <w:t xml:space="preserve"> (II)</w:t>
      </w:r>
      <w:r w:rsidR="00E26870" w:rsidRPr="00452138">
        <w:t xml:space="preserve"> </w:t>
      </w:r>
      <w:r w:rsidR="009721BE">
        <w:rPr>
          <w:b w:val="0"/>
          <w:bCs/>
        </w:rPr>
        <w:t>(3</w:t>
      </w:r>
      <w:r w:rsidR="00E26870" w:rsidRPr="00FF78A1">
        <w:rPr>
          <w:b w:val="0"/>
          <w:bCs/>
        </w:rPr>
        <w:t>0 minutes conseillées)</w:t>
      </w:r>
      <w:bookmarkEnd w:id="5"/>
      <w:bookmarkEnd w:id="6"/>
    </w:p>
    <w:p w14:paraId="3925771B" w14:textId="77777777" w:rsidR="00E26870" w:rsidRDefault="00E26870" w:rsidP="00E26870">
      <w:pPr>
        <w:pStyle w:val="ECEcorps"/>
      </w:pPr>
    </w:p>
    <w:p w14:paraId="6D570E10" w14:textId="6157D89D" w:rsidR="00E26870" w:rsidRDefault="00293121" w:rsidP="009721BE">
      <w:pPr>
        <w:pStyle w:val="ECEcorps"/>
        <w:rPr>
          <w:b/>
          <w:u w:val="single"/>
        </w:rPr>
      </w:pPr>
      <w:r>
        <w:rPr>
          <w:b/>
          <w:u w:val="single"/>
        </w:rPr>
        <w:t>Principales é</w:t>
      </w:r>
      <w:r w:rsidR="009721BE" w:rsidRPr="00426778">
        <w:rPr>
          <w:b/>
          <w:u w:val="single"/>
        </w:rPr>
        <w:t>tapes du Protocole</w:t>
      </w:r>
    </w:p>
    <w:p w14:paraId="75DEAF1E" w14:textId="77777777" w:rsidR="00293121" w:rsidRPr="00426778" w:rsidRDefault="00293121" w:rsidP="009721BE">
      <w:pPr>
        <w:pStyle w:val="ECEcorps"/>
        <w:rPr>
          <w:b/>
          <w:u w:val="single"/>
        </w:rPr>
      </w:pPr>
    </w:p>
    <w:p w14:paraId="697C4612" w14:textId="54F1BEF3" w:rsidR="002873BC" w:rsidRPr="002873BC" w:rsidRDefault="00634760" w:rsidP="00426778">
      <w:pPr>
        <w:pStyle w:val="ECEcorps"/>
        <w:numPr>
          <w:ilvl w:val="0"/>
          <w:numId w:val="10"/>
        </w:numPr>
        <w:rPr>
          <w:color w:val="00B050"/>
        </w:rPr>
      </w:pPr>
      <w:r>
        <w:t>À</w:t>
      </w:r>
      <w:r w:rsidR="00975918">
        <w:t xml:space="preserve"> l’aide du matériel disponible, p</w:t>
      </w:r>
      <w:r w:rsidR="00426778">
        <w:t xml:space="preserve">réparer, par dilution de la solution mère </w:t>
      </w:r>
      <w:r w:rsidR="004158D2">
        <w:t>(</w:t>
      </w:r>
      <w:r w:rsidR="00426778" w:rsidRPr="002E50B7">
        <w:rPr>
          <w:b/>
        </w:rPr>
        <w:t>S</w:t>
      </w:r>
      <w:r w:rsidR="00426778" w:rsidRPr="002E50B7">
        <w:rPr>
          <w:b/>
          <w:vertAlign w:val="subscript"/>
        </w:rPr>
        <w:t>0</w:t>
      </w:r>
      <w:r w:rsidR="004158D2">
        <w:t xml:space="preserve">) </w:t>
      </w:r>
      <w:r w:rsidR="002873BC">
        <w:t>de concentration molaire 1</w:t>
      </w:r>
      <w:r w:rsidR="00426778">
        <w:t>,0</w:t>
      </w:r>
      <w:r w:rsidR="00426778" w:rsidRPr="002466CA">
        <w:t> </w:t>
      </w:r>
      <w:r w:rsidR="00426778">
        <w:t>×</w:t>
      </w:r>
      <w:r w:rsidR="00426778" w:rsidRPr="002466CA">
        <w:t> 10</w:t>
      </w:r>
      <w:r w:rsidR="00426778">
        <w:rPr>
          <w:vertAlign w:val="superscript"/>
        </w:rPr>
        <w:t>–</w:t>
      </w:r>
      <w:r w:rsidR="00426778" w:rsidRPr="004D4B41">
        <w:rPr>
          <w:vertAlign w:val="superscript"/>
        </w:rPr>
        <w:t>2</w:t>
      </w:r>
      <w:r w:rsidR="00426778" w:rsidRPr="002466CA">
        <w:t> mol</w:t>
      </w:r>
      <w:r w:rsidR="00426778">
        <w:t>·</w:t>
      </w:r>
      <w:r w:rsidR="00426778" w:rsidRPr="002466CA">
        <w:t>L</w:t>
      </w:r>
      <w:r w:rsidR="00426778">
        <w:rPr>
          <w:vertAlign w:val="superscript"/>
        </w:rPr>
        <w:t>-1</w:t>
      </w:r>
      <w:r w:rsidR="00426778">
        <w:t xml:space="preserve">, trois solutions filles </w:t>
      </w:r>
      <w:r w:rsidR="004158D2">
        <w:t>(</w:t>
      </w:r>
      <w:r w:rsidR="00426778" w:rsidRPr="002E50B7">
        <w:rPr>
          <w:b/>
        </w:rPr>
        <w:t>S</w:t>
      </w:r>
      <w:r w:rsidR="00426778">
        <w:rPr>
          <w:b/>
          <w:vertAlign w:val="subscript"/>
        </w:rPr>
        <w:t>1</w:t>
      </w:r>
      <w:r w:rsidR="004158D2">
        <w:t>),</w:t>
      </w:r>
      <w:r w:rsidR="00426778">
        <w:t xml:space="preserve"> </w:t>
      </w:r>
      <w:r w:rsidR="004158D2">
        <w:t>(</w:t>
      </w:r>
      <w:r w:rsidR="00426778" w:rsidRPr="002E50B7">
        <w:rPr>
          <w:b/>
        </w:rPr>
        <w:t>S</w:t>
      </w:r>
      <w:r w:rsidR="00426778">
        <w:rPr>
          <w:b/>
          <w:vertAlign w:val="subscript"/>
        </w:rPr>
        <w:t>2</w:t>
      </w:r>
      <w:r w:rsidR="004158D2">
        <w:t>)</w:t>
      </w:r>
      <w:r w:rsidR="00426778">
        <w:t xml:space="preserve"> et </w:t>
      </w:r>
      <w:r w:rsidR="004158D2">
        <w:t>(</w:t>
      </w:r>
      <w:r w:rsidR="00426778" w:rsidRPr="002E50B7">
        <w:rPr>
          <w:b/>
        </w:rPr>
        <w:t>S</w:t>
      </w:r>
      <w:r w:rsidR="00426778">
        <w:rPr>
          <w:b/>
          <w:vertAlign w:val="subscript"/>
        </w:rPr>
        <w:t>3</w:t>
      </w:r>
      <w:r w:rsidR="004158D2">
        <w:t>)</w:t>
      </w:r>
      <w:r w:rsidR="00CC2D98">
        <w:t xml:space="preserve"> </w:t>
      </w:r>
      <w:r w:rsidR="00426778">
        <w:t>de concentrations molaires respective</w:t>
      </w:r>
      <w:r w:rsidR="00975918">
        <w:t>s</w:t>
      </w:r>
      <w:r w:rsidR="002873BC">
        <w:t> :</w:t>
      </w:r>
    </w:p>
    <w:p w14:paraId="47826D62" w14:textId="54B511F9" w:rsidR="00426778" w:rsidRPr="00B4586C" w:rsidRDefault="00426778" w:rsidP="002873BC">
      <w:pPr>
        <w:pStyle w:val="ECEcorps"/>
        <w:ind w:left="720"/>
        <w:rPr>
          <w:color w:val="00B050"/>
        </w:rPr>
      </w:pPr>
      <w:r>
        <w:t xml:space="preserve"> </w:t>
      </w:r>
      <w:r w:rsidR="002873BC">
        <w:t>2,0</w:t>
      </w:r>
      <w:r w:rsidRPr="002466CA">
        <w:t> </w:t>
      </w:r>
      <w:r>
        <w:t>×</w:t>
      </w:r>
      <w:r w:rsidRPr="002466CA">
        <w:t> 10</w:t>
      </w:r>
      <w:r>
        <w:rPr>
          <w:vertAlign w:val="superscript"/>
        </w:rPr>
        <w:t>–</w:t>
      </w:r>
      <w:r w:rsidR="002873BC">
        <w:rPr>
          <w:vertAlign w:val="superscript"/>
        </w:rPr>
        <w:t>3</w:t>
      </w:r>
      <w:r w:rsidRPr="002466CA">
        <w:t> mol</w:t>
      </w:r>
      <w:r>
        <w:t>·</w:t>
      </w:r>
      <w:r w:rsidRPr="002466CA">
        <w:t>L</w:t>
      </w:r>
      <w:r>
        <w:rPr>
          <w:vertAlign w:val="superscript"/>
        </w:rPr>
        <w:t>-1</w:t>
      </w:r>
      <w:r>
        <w:t> ; 1</w:t>
      </w:r>
      <w:r w:rsidRPr="002466CA">
        <w:t>,0 </w:t>
      </w:r>
      <w:r>
        <w:t>×</w:t>
      </w:r>
      <w:r w:rsidRPr="002466CA">
        <w:t> 10</w:t>
      </w:r>
      <w:r>
        <w:rPr>
          <w:vertAlign w:val="superscript"/>
        </w:rPr>
        <w:t>–</w:t>
      </w:r>
      <w:r w:rsidR="002873BC">
        <w:rPr>
          <w:vertAlign w:val="superscript"/>
        </w:rPr>
        <w:t>3</w:t>
      </w:r>
      <w:r w:rsidRPr="002466CA">
        <w:t> mol</w:t>
      </w:r>
      <w:r>
        <w:t>·</w:t>
      </w:r>
      <w:r w:rsidRPr="002466CA">
        <w:t>L</w:t>
      </w:r>
      <w:r>
        <w:rPr>
          <w:vertAlign w:val="superscript"/>
        </w:rPr>
        <w:t>-1</w:t>
      </w:r>
      <w:r>
        <w:t xml:space="preserve"> et 5</w:t>
      </w:r>
      <w:r w:rsidR="00976398">
        <w:t>,0</w:t>
      </w:r>
      <w:r w:rsidRPr="002466CA">
        <w:t> </w:t>
      </w:r>
      <w:r>
        <w:t>×</w:t>
      </w:r>
      <w:r w:rsidRPr="002466CA">
        <w:t> 10</w:t>
      </w:r>
      <w:r>
        <w:rPr>
          <w:vertAlign w:val="superscript"/>
        </w:rPr>
        <w:t>–</w:t>
      </w:r>
      <w:r w:rsidR="00976398">
        <w:rPr>
          <w:vertAlign w:val="superscript"/>
        </w:rPr>
        <w:t>4</w:t>
      </w:r>
      <w:r w:rsidRPr="002466CA">
        <w:t> mol</w:t>
      </w:r>
      <w:r>
        <w:t>·</w:t>
      </w:r>
      <w:r w:rsidRPr="002466CA">
        <w:t>L</w:t>
      </w:r>
      <w:r>
        <w:rPr>
          <w:vertAlign w:val="superscript"/>
        </w:rPr>
        <w:t>-1</w:t>
      </w:r>
      <w:r>
        <w:t>.</w:t>
      </w:r>
      <w:r w:rsidR="00B4586C">
        <w:t xml:space="preserve">  </w:t>
      </w:r>
    </w:p>
    <w:p w14:paraId="42BF5850" w14:textId="77777777" w:rsidR="00293121" w:rsidRDefault="00293121" w:rsidP="0029312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293121" w14:paraId="25F4D4E6" w14:textId="77777777" w:rsidTr="00EB60F9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1ABD74B" w14:textId="77777777" w:rsidR="00293121" w:rsidRDefault="00293121" w:rsidP="00EB60F9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86F371A" w14:textId="20A6E912" w:rsidR="00293121" w:rsidRDefault="00293121" w:rsidP="00EB60F9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DA1DEFF" w14:textId="77777777" w:rsidR="00293121" w:rsidRDefault="00293121" w:rsidP="00EB60F9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293121" w14:paraId="0A0497F8" w14:textId="77777777" w:rsidTr="00EB60F9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C98437D" w14:textId="77777777" w:rsidR="00293121" w:rsidRPr="00592F79" w:rsidRDefault="00293121" w:rsidP="00EB60F9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861D446" w14:textId="77777777" w:rsidR="00293121" w:rsidRPr="0009288D" w:rsidRDefault="00293121" w:rsidP="00EB60F9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1C194E4F" w14:textId="77777777" w:rsidR="00293121" w:rsidRDefault="00293121" w:rsidP="00EB60F9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1DDEE1D" w14:textId="77777777" w:rsidR="00293121" w:rsidRDefault="00293121" w:rsidP="00EB60F9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0D9D2B4" w14:textId="77777777" w:rsidR="00293121" w:rsidRDefault="00293121" w:rsidP="00293121">
      <w:pPr>
        <w:pStyle w:val="ECEcorps"/>
      </w:pPr>
    </w:p>
    <w:p w14:paraId="1ABC5627" w14:textId="33DC2C35" w:rsidR="00975918" w:rsidRDefault="00426778" w:rsidP="00426778">
      <w:pPr>
        <w:pStyle w:val="ECEcorps"/>
        <w:numPr>
          <w:ilvl w:val="0"/>
          <w:numId w:val="10"/>
        </w:numPr>
      </w:pPr>
      <w:r>
        <w:t xml:space="preserve">Régler le spectrophotomètre sur 600 nm et « faire le blanc » avec la solution ammoniacale </w:t>
      </w:r>
      <w:r w:rsidR="004158D2" w:rsidRPr="004158D2">
        <w:rPr>
          <w:b/>
        </w:rPr>
        <w:t>(</w:t>
      </w:r>
      <w:r w:rsidRPr="004158D2">
        <w:rPr>
          <w:b/>
        </w:rPr>
        <w:t>S</w:t>
      </w:r>
      <w:r w:rsidRPr="004158D2">
        <w:rPr>
          <w:b/>
          <w:vertAlign w:val="subscript"/>
        </w:rPr>
        <w:t>blanc</w:t>
      </w:r>
      <w:r w:rsidR="004158D2" w:rsidRPr="004158D2">
        <w:rPr>
          <w:b/>
        </w:rPr>
        <w:t>)</w:t>
      </w:r>
      <w:r w:rsidR="004158D2">
        <w:t>.</w:t>
      </w:r>
    </w:p>
    <w:p w14:paraId="2098CF30" w14:textId="77777777" w:rsidR="00634760" w:rsidRDefault="00634760" w:rsidP="00634760">
      <w:pPr>
        <w:pStyle w:val="ECEcorps"/>
        <w:ind w:left="360"/>
      </w:pPr>
    </w:p>
    <w:p w14:paraId="46BF5869" w14:textId="0CDBD8EA" w:rsidR="00426778" w:rsidRDefault="00426778" w:rsidP="004731A4">
      <w:pPr>
        <w:pStyle w:val="ECEcorps"/>
        <w:numPr>
          <w:ilvl w:val="0"/>
          <w:numId w:val="10"/>
        </w:numPr>
      </w:pPr>
      <w:r>
        <w:t xml:space="preserve">Mesurer l’absorbance des </w:t>
      </w:r>
      <w:r w:rsidR="004158D2">
        <w:t>solutions</w:t>
      </w:r>
      <w:r w:rsidR="008351D2">
        <w:t xml:space="preserve"> </w:t>
      </w:r>
      <w:r w:rsidR="00975918">
        <w:t>(</w:t>
      </w:r>
      <w:r w:rsidR="00975918" w:rsidRPr="00634760">
        <w:rPr>
          <w:b/>
        </w:rPr>
        <w:t>S</w:t>
      </w:r>
      <w:r w:rsidR="00975918" w:rsidRPr="00634760">
        <w:rPr>
          <w:b/>
          <w:vertAlign w:val="subscript"/>
        </w:rPr>
        <w:t>0</w:t>
      </w:r>
      <w:r w:rsidR="00975918">
        <w:t>), (</w:t>
      </w:r>
      <w:r w:rsidR="00975918" w:rsidRPr="00634760">
        <w:rPr>
          <w:b/>
        </w:rPr>
        <w:t>S</w:t>
      </w:r>
      <w:r w:rsidR="00975918" w:rsidRPr="00634760">
        <w:rPr>
          <w:b/>
          <w:vertAlign w:val="subscript"/>
        </w:rPr>
        <w:t>1</w:t>
      </w:r>
      <w:r w:rsidR="00975918">
        <w:t>), (</w:t>
      </w:r>
      <w:r w:rsidR="00975918" w:rsidRPr="00634760">
        <w:rPr>
          <w:b/>
        </w:rPr>
        <w:t>S</w:t>
      </w:r>
      <w:r w:rsidR="00975918" w:rsidRPr="00634760">
        <w:rPr>
          <w:b/>
          <w:vertAlign w:val="subscript"/>
        </w:rPr>
        <w:t>2</w:t>
      </w:r>
      <w:r w:rsidR="00975918">
        <w:t>), (</w:t>
      </w:r>
      <w:r w:rsidR="00975918" w:rsidRPr="00634760">
        <w:rPr>
          <w:b/>
        </w:rPr>
        <w:t>S</w:t>
      </w:r>
      <w:r w:rsidR="00975918" w:rsidRPr="00634760">
        <w:rPr>
          <w:b/>
          <w:vertAlign w:val="subscript"/>
        </w:rPr>
        <w:t>3</w:t>
      </w:r>
      <w:r w:rsidR="00975918">
        <w:t>) et</w:t>
      </w:r>
      <w:r>
        <w:t xml:space="preserve"> </w:t>
      </w:r>
      <w:r w:rsidR="004158D2" w:rsidRPr="00634760">
        <w:rPr>
          <w:b/>
        </w:rPr>
        <w:t>(S</w:t>
      </w:r>
      <w:r w:rsidR="004158D2" w:rsidRPr="00634760">
        <w:rPr>
          <w:b/>
          <w:vertAlign w:val="subscript"/>
        </w:rPr>
        <w:t>eau</w:t>
      </w:r>
      <w:r w:rsidR="004158D2" w:rsidRPr="00634760">
        <w:rPr>
          <w:b/>
        </w:rPr>
        <w:t>)</w:t>
      </w:r>
      <w:r>
        <w:t>.</w:t>
      </w:r>
      <w:r w:rsidR="00975918">
        <w:t xml:space="preserve"> Noter</w:t>
      </w:r>
      <w:r w:rsidR="00DB1968">
        <w:t xml:space="preserve"> les valeurs dans le tableau ci-</w:t>
      </w:r>
      <w:r w:rsidR="00975918">
        <w:t>dessous :</w:t>
      </w:r>
    </w:p>
    <w:p w14:paraId="4870E27A" w14:textId="77777777" w:rsidR="00E96228" w:rsidRDefault="00E96228" w:rsidP="00E96228">
      <w:pPr>
        <w:pStyle w:val="ECEcorps"/>
        <w:ind w:left="720"/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653"/>
        <w:gridCol w:w="1477"/>
        <w:gridCol w:w="1478"/>
        <w:gridCol w:w="1478"/>
        <w:gridCol w:w="1478"/>
        <w:gridCol w:w="1478"/>
        <w:gridCol w:w="1478"/>
      </w:tblGrid>
      <w:tr w:rsidR="003A3691" w14:paraId="64D291D3" w14:textId="77777777" w:rsidTr="00634760">
        <w:tc>
          <w:tcPr>
            <w:tcW w:w="1653" w:type="dxa"/>
          </w:tcPr>
          <w:p w14:paraId="6CBACAA0" w14:textId="5D13136D" w:rsidR="003A3691" w:rsidRPr="003A3691" w:rsidRDefault="003A3691" w:rsidP="003A3691">
            <w:pPr>
              <w:pStyle w:val="ECEcorps"/>
              <w:jc w:val="center"/>
              <w:rPr>
                <w:b/>
              </w:rPr>
            </w:pPr>
            <w:r w:rsidRPr="003A3691">
              <w:rPr>
                <w:b/>
              </w:rPr>
              <w:t>Solution (S)</w:t>
            </w:r>
          </w:p>
        </w:tc>
        <w:tc>
          <w:tcPr>
            <w:tcW w:w="1477" w:type="dxa"/>
          </w:tcPr>
          <w:p w14:paraId="54FC5D86" w14:textId="00C522E3" w:rsidR="003A3691" w:rsidRDefault="003A3691" w:rsidP="003A3691">
            <w:pPr>
              <w:pStyle w:val="ECEcorps"/>
              <w:jc w:val="center"/>
            </w:pPr>
            <w:r>
              <w:t>(</w:t>
            </w:r>
            <w:r w:rsidRPr="002E50B7">
              <w:rPr>
                <w:b/>
              </w:rPr>
              <w:t>S</w:t>
            </w:r>
            <w:r>
              <w:rPr>
                <w:b/>
                <w:vertAlign w:val="subscript"/>
              </w:rPr>
              <w:t>blanc</w:t>
            </w:r>
            <w:r>
              <w:t>)</w:t>
            </w:r>
          </w:p>
        </w:tc>
        <w:tc>
          <w:tcPr>
            <w:tcW w:w="1478" w:type="dxa"/>
          </w:tcPr>
          <w:p w14:paraId="709CD231" w14:textId="46AB8A17" w:rsidR="003A3691" w:rsidRDefault="003A3691" w:rsidP="003A3691">
            <w:pPr>
              <w:pStyle w:val="ECEcorps"/>
              <w:jc w:val="center"/>
            </w:pPr>
            <w:r>
              <w:t>(</w:t>
            </w:r>
            <w:r w:rsidRPr="002E50B7">
              <w:rPr>
                <w:b/>
              </w:rPr>
              <w:t>S</w:t>
            </w:r>
            <w:r w:rsidRPr="002E50B7">
              <w:rPr>
                <w:b/>
                <w:vertAlign w:val="subscript"/>
              </w:rPr>
              <w:t>0</w:t>
            </w:r>
            <w:r>
              <w:t>)</w:t>
            </w:r>
          </w:p>
        </w:tc>
        <w:tc>
          <w:tcPr>
            <w:tcW w:w="1478" w:type="dxa"/>
          </w:tcPr>
          <w:p w14:paraId="4B388CF3" w14:textId="35A70A13" w:rsidR="003A3691" w:rsidRDefault="003A3691" w:rsidP="003A3691">
            <w:pPr>
              <w:pStyle w:val="ECEcorps"/>
              <w:jc w:val="center"/>
            </w:pPr>
            <w:r>
              <w:t>(</w:t>
            </w:r>
            <w:r w:rsidRPr="002E50B7">
              <w:rPr>
                <w:b/>
              </w:rPr>
              <w:t>S</w:t>
            </w:r>
            <w:r>
              <w:rPr>
                <w:b/>
                <w:vertAlign w:val="subscript"/>
              </w:rPr>
              <w:t>1</w:t>
            </w:r>
            <w:r>
              <w:t>)</w:t>
            </w:r>
          </w:p>
        </w:tc>
        <w:tc>
          <w:tcPr>
            <w:tcW w:w="1478" w:type="dxa"/>
          </w:tcPr>
          <w:p w14:paraId="53841660" w14:textId="4B4A2694" w:rsidR="003A3691" w:rsidRDefault="003A3691" w:rsidP="003A3691">
            <w:pPr>
              <w:pStyle w:val="ECEcorps"/>
              <w:jc w:val="center"/>
            </w:pPr>
            <w:r>
              <w:t>(</w:t>
            </w:r>
            <w:r w:rsidRPr="002E50B7">
              <w:rPr>
                <w:b/>
              </w:rPr>
              <w:t>S</w:t>
            </w:r>
            <w:r>
              <w:rPr>
                <w:b/>
                <w:vertAlign w:val="subscript"/>
              </w:rPr>
              <w:t>2</w:t>
            </w:r>
            <w:r>
              <w:t>)</w:t>
            </w:r>
          </w:p>
        </w:tc>
        <w:tc>
          <w:tcPr>
            <w:tcW w:w="1478" w:type="dxa"/>
          </w:tcPr>
          <w:p w14:paraId="0D5B4163" w14:textId="12721A41" w:rsidR="003A3691" w:rsidRDefault="003A3691" w:rsidP="003A3691">
            <w:pPr>
              <w:pStyle w:val="ECEcorps"/>
              <w:jc w:val="center"/>
            </w:pPr>
            <w:r>
              <w:t>(</w:t>
            </w:r>
            <w:r w:rsidRPr="002E50B7">
              <w:rPr>
                <w:b/>
              </w:rPr>
              <w:t>S</w:t>
            </w:r>
            <w:r>
              <w:rPr>
                <w:b/>
                <w:vertAlign w:val="subscript"/>
              </w:rPr>
              <w:t>3</w:t>
            </w:r>
            <w:r>
              <w:t>)</w:t>
            </w:r>
          </w:p>
        </w:tc>
        <w:tc>
          <w:tcPr>
            <w:tcW w:w="1478" w:type="dxa"/>
          </w:tcPr>
          <w:p w14:paraId="00E824A5" w14:textId="0ED3C5C5" w:rsidR="003A3691" w:rsidRDefault="003A3691" w:rsidP="003A3691">
            <w:pPr>
              <w:pStyle w:val="ECEcorps"/>
              <w:jc w:val="center"/>
            </w:pPr>
            <w:r w:rsidRPr="00975918">
              <w:rPr>
                <w:b/>
              </w:rPr>
              <w:t>(S</w:t>
            </w:r>
            <w:r w:rsidRPr="00975918">
              <w:rPr>
                <w:b/>
                <w:vertAlign w:val="subscript"/>
              </w:rPr>
              <w:t>eau</w:t>
            </w:r>
            <w:r w:rsidRPr="00975918">
              <w:rPr>
                <w:b/>
              </w:rPr>
              <w:t>)</w:t>
            </w:r>
          </w:p>
        </w:tc>
      </w:tr>
      <w:tr w:rsidR="003A3691" w14:paraId="161920FC" w14:textId="77777777" w:rsidTr="00634760">
        <w:tc>
          <w:tcPr>
            <w:tcW w:w="1653" w:type="dxa"/>
          </w:tcPr>
          <w:p w14:paraId="47300253" w14:textId="77777777" w:rsidR="00634760" w:rsidRPr="00634760" w:rsidRDefault="00634760" w:rsidP="003A3691">
            <w:pPr>
              <w:pStyle w:val="ECEcorps"/>
              <w:jc w:val="center"/>
              <w:rPr>
                <w:b/>
                <w:sz w:val="12"/>
                <w:szCs w:val="12"/>
              </w:rPr>
            </w:pPr>
          </w:p>
          <w:p w14:paraId="653328F6" w14:textId="77777777" w:rsidR="003A3691" w:rsidRDefault="003A3691" w:rsidP="003A3691">
            <w:pPr>
              <w:pStyle w:val="ECEcorps"/>
              <w:jc w:val="center"/>
              <w:rPr>
                <w:b/>
              </w:rPr>
            </w:pPr>
            <w:r w:rsidRPr="003A3691">
              <w:rPr>
                <w:b/>
              </w:rPr>
              <w:t>Absorbance A</w:t>
            </w:r>
          </w:p>
          <w:p w14:paraId="7D313B38" w14:textId="1BF18397" w:rsidR="00634760" w:rsidRPr="00634760" w:rsidRDefault="00634760" w:rsidP="00634760">
            <w:pPr>
              <w:pStyle w:val="ECEcorps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77" w:type="dxa"/>
          </w:tcPr>
          <w:p w14:paraId="68403B11" w14:textId="77777777" w:rsidR="00634760" w:rsidRPr="00634760" w:rsidRDefault="00634760" w:rsidP="00634760">
            <w:pPr>
              <w:pStyle w:val="ECEcorps"/>
              <w:jc w:val="center"/>
              <w:rPr>
                <w:sz w:val="12"/>
                <w:szCs w:val="12"/>
              </w:rPr>
            </w:pPr>
          </w:p>
          <w:p w14:paraId="64B9CA67" w14:textId="302A77BC" w:rsidR="008351D2" w:rsidRDefault="008351D2" w:rsidP="00634760">
            <w:pPr>
              <w:pStyle w:val="ECEcorps"/>
              <w:jc w:val="center"/>
            </w:pPr>
            <w:r>
              <w:t>0,0</w:t>
            </w:r>
          </w:p>
        </w:tc>
        <w:tc>
          <w:tcPr>
            <w:tcW w:w="1478" w:type="dxa"/>
          </w:tcPr>
          <w:p w14:paraId="4696C362" w14:textId="77777777" w:rsidR="003A3691" w:rsidRDefault="003A3691" w:rsidP="003A3691">
            <w:pPr>
              <w:pStyle w:val="ECEcorps"/>
              <w:jc w:val="center"/>
            </w:pPr>
          </w:p>
        </w:tc>
        <w:tc>
          <w:tcPr>
            <w:tcW w:w="1478" w:type="dxa"/>
          </w:tcPr>
          <w:p w14:paraId="20D26B02" w14:textId="77777777" w:rsidR="003A3691" w:rsidRDefault="003A3691" w:rsidP="003A3691">
            <w:pPr>
              <w:pStyle w:val="ECEcorps"/>
              <w:jc w:val="center"/>
            </w:pPr>
          </w:p>
        </w:tc>
        <w:tc>
          <w:tcPr>
            <w:tcW w:w="1478" w:type="dxa"/>
          </w:tcPr>
          <w:p w14:paraId="435FEE7D" w14:textId="77777777" w:rsidR="003A3691" w:rsidRDefault="003A3691" w:rsidP="003A3691">
            <w:pPr>
              <w:pStyle w:val="ECEcorps"/>
              <w:jc w:val="center"/>
            </w:pPr>
          </w:p>
        </w:tc>
        <w:tc>
          <w:tcPr>
            <w:tcW w:w="1478" w:type="dxa"/>
          </w:tcPr>
          <w:p w14:paraId="524D052E" w14:textId="77777777" w:rsidR="003A3691" w:rsidRDefault="003A3691" w:rsidP="003A3691">
            <w:pPr>
              <w:pStyle w:val="ECEcorps"/>
              <w:jc w:val="center"/>
            </w:pPr>
          </w:p>
        </w:tc>
        <w:tc>
          <w:tcPr>
            <w:tcW w:w="1478" w:type="dxa"/>
          </w:tcPr>
          <w:p w14:paraId="6FCC9265" w14:textId="77777777" w:rsidR="003A3691" w:rsidRDefault="003A3691" w:rsidP="003A3691">
            <w:pPr>
              <w:pStyle w:val="ECEcorps"/>
              <w:jc w:val="center"/>
            </w:pPr>
          </w:p>
        </w:tc>
      </w:tr>
    </w:tbl>
    <w:p w14:paraId="6CB2505F" w14:textId="77777777" w:rsidR="003A3691" w:rsidRDefault="003A3691" w:rsidP="003A3691">
      <w:pPr>
        <w:pStyle w:val="ECEcorps"/>
      </w:pPr>
    </w:p>
    <w:p w14:paraId="4F5457D4" w14:textId="0C20DDAD" w:rsidR="00426390" w:rsidRDefault="00426778" w:rsidP="00426778">
      <w:pPr>
        <w:pStyle w:val="ECEcorps"/>
        <w:numPr>
          <w:ilvl w:val="0"/>
          <w:numId w:val="10"/>
        </w:numPr>
      </w:pPr>
      <w:r>
        <w:t>Reporter les mesures d’absorbance sur papie</w:t>
      </w:r>
      <w:r w:rsidR="00A0203A">
        <w:t>r millimétré</w:t>
      </w:r>
      <w:r w:rsidR="001E21B3">
        <w:t xml:space="preserve"> ou dans le tableur-grapheur</w:t>
      </w:r>
      <w:r w:rsidR="00A0203A">
        <w:t xml:space="preserve"> et tracer la courbe</w:t>
      </w:r>
      <w:r>
        <w:t xml:space="preserve"> </w:t>
      </w:r>
      <w:r w:rsidRPr="001E21B3">
        <w:rPr>
          <w:i/>
        </w:rPr>
        <w:t>A</w:t>
      </w:r>
      <w:r>
        <w:t> = f (</w:t>
      </w:r>
      <w:r w:rsidRPr="00975918">
        <w:t>[</w:t>
      </w:r>
      <w:r w:rsidRPr="001E21B3">
        <w:rPr>
          <w:i/>
        </w:rPr>
        <w:t>Cu(NH</w:t>
      </w:r>
      <w:r w:rsidRPr="001E21B3">
        <w:rPr>
          <w:i/>
          <w:vertAlign w:val="subscript"/>
        </w:rPr>
        <w:t>3</w:t>
      </w:r>
      <w:r w:rsidRPr="001E21B3">
        <w:rPr>
          <w:i/>
        </w:rPr>
        <w:t>)</w:t>
      </w:r>
      <w:r w:rsidRPr="001E21B3">
        <w:rPr>
          <w:i/>
          <w:vertAlign w:val="subscript"/>
        </w:rPr>
        <w:t>4</w:t>
      </w:r>
      <w:r w:rsidRPr="001E21B3">
        <w:rPr>
          <w:i/>
          <w:vertAlign w:val="superscript"/>
        </w:rPr>
        <w:t>2+</w:t>
      </w:r>
      <w:r w:rsidRPr="001E21B3">
        <w:rPr>
          <w:i/>
          <w:vertAlign w:val="subscript"/>
        </w:rPr>
        <w:t> </w:t>
      </w:r>
      <w:r w:rsidRPr="001E21B3">
        <w:rPr>
          <w:i/>
        </w:rPr>
        <w:t>(aq)</w:t>
      </w:r>
      <w:r w:rsidRPr="00975918">
        <w:t>]</w:t>
      </w:r>
      <w:r>
        <w:t>).</w:t>
      </w:r>
    </w:p>
    <w:p w14:paraId="63E4FEFA" w14:textId="77777777" w:rsidR="00DB1968" w:rsidRDefault="00DB1968" w:rsidP="00DB1968">
      <w:pPr>
        <w:pStyle w:val="ECEcorps"/>
        <w:ind w:left="360"/>
      </w:pPr>
    </w:p>
    <w:p w14:paraId="3413BD31" w14:textId="748CD813" w:rsidR="00426390" w:rsidRDefault="00426390" w:rsidP="00426390">
      <w:pPr>
        <w:pStyle w:val="ECEcorps"/>
        <w:numPr>
          <w:ilvl w:val="0"/>
          <w:numId w:val="10"/>
        </w:numPr>
      </w:pPr>
      <w:r>
        <w:t>D</w:t>
      </w:r>
      <w:r w:rsidR="00975918">
        <w:t>éterminer</w:t>
      </w:r>
      <w:r w:rsidR="00426778">
        <w:t xml:space="preserve"> la</w:t>
      </w:r>
      <w:r>
        <w:t xml:space="preserve"> valeur de la</w:t>
      </w:r>
      <w:r w:rsidR="00426778">
        <w:t xml:space="preserve"> concentration</w:t>
      </w:r>
      <w:r w:rsidR="00374478">
        <w:t xml:space="preserve"> molaire</w:t>
      </w:r>
      <w:r w:rsidR="00426778">
        <w:t xml:space="preserve"> </w:t>
      </w:r>
      <w:r w:rsidR="00426778" w:rsidRPr="00975918">
        <w:t>[</w:t>
      </w:r>
      <w:r w:rsidR="00426778" w:rsidRPr="00825550">
        <w:rPr>
          <w:i/>
        </w:rPr>
        <w:t>Cu(NH</w:t>
      </w:r>
      <w:r w:rsidR="00426778" w:rsidRPr="00825550">
        <w:rPr>
          <w:i/>
          <w:vertAlign w:val="subscript"/>
        </w:rPr>
        <w:t>3</w:t>
      </w:r>
      <w:r w:rsidR="00426778" w:rsidRPr="00825550">
        <w:rPr>
          <w:i/>
        </w:rPr>
        <w:t>)</w:t>
      </w:r>
      <w:r w:rsidR="00426778" w:rsidRPr="00825550">
        <w:rPr>
          <w:i/>
          <w:vertAlign w:val="subscript"/>
        </w:rPr>
        <w:t>4</w:t>
      </w:r>
      <w:r w:rsidR="00426778" w:rsidRPr="00825550">
        <w:rPr>
          <w:i/>
          <w:vertAlign w:val="superscript"/>
        </w:rPr>
        <w:t>2+</w:t>
      </w:r>
      <w:r w:rsidR="00426778" w:rsidRPr="00825550">
        <w:rPr>
          <w:i/>
          <w:vertAlign w:val="subscript"/>
        </w:rPr>
        <w:t> </w:t>
      </w:r>
      <w:r w:rsidR="00426778" w:rsidRPr="00825550">
        <w:rPr>
          <w:i/>
        </w:rPr>
        <w:t>(aq)</w:t>
      </w:r>
      <w:r w:rsidR="00426778" w:rsidRPr="00975918">
        <w:t>]</w:t>
      </w:r>
      <w:r w:rsidR="00426778">
        <w:t xml:space="preserve"> de la solution </w:t>
      </w:r>
      <w:r w:rsidR="004158D2" w:rsidRPr="00426390">
        <w:rPr>
          <w:b/>
        </w:rPr>
        <w:t>(S</w:t>
      </w:r>
      <w:r w:rsidR="004158D2" w:rsidRPr="00426390">
        <w:rPr>
          <w:b/>
          <w:vertAlign w:val="subscript"/>
        </w:rPr>
        <w:t>eau</w:t>
      </w:r>
      <w:r w:rsidR="004158D2" w:rsidRPr="00426390">
        <w:rPr>
          <w:b/>
        </w:rPr>
        <w:t>)</w:t>
      </w:r>
      <w:r w:rsidR="008351D2">
        <w:t xml:space="preserve"> à l’aide de la courbe</w:t>
      </w:r>
      <w:r>
        <w:t xml:space="preserve"> d’étalonnage </w:t>
      </w:r>
      <w:r w:rsidRPr="001647FC">
        <w:rPr>
          <w:i/>
        </w:rPr>
        <w:t>A</w:t>
      </w:r>
      <w:r>
        <w:t> = f (</w:t>
      </w:r>
      <w:r w:rsidRPr="00975918">
        <w:t>[</w:t>
      </w:r>
      <w:r w:rsidRPr="00825550">
        <w:rPr>
          <w:i/>
        </w:rPr>
        <w:t>Cu(NH</w:t>
      </w:r>
      <w:r w:rsidRPr="00825550">
        <w:rPr>
          <w:i/>
          <w:vertAlign w:val="subscript"/>
        </w:rPr>
        <w:t>3</w:t>
      </w:r>
      <w:r w:rsidRPr="00825550">
        <w:rPr>
          <w:i/>
        </w:rPr>
        <w:t>)</w:t>
      </w:r>
      <w:r w:rsidRPr="00825550">
        <w:rPr>
          <w:i/>
          <w:vertAlign w:val="subscript"/>
        </w:rPr>
        <w:t>4</w:t>
      </w:r>
      <w:r w:rsidRPr="00825550">
        <w:rPr>
          <w:i/>
          <w:vertAlign w:val="superscript"/>
        </w:rPr>
        <w:t>2+</w:t>
      </w:r>
      <w:r w:rsidRPr="00825550">
        <w:rPr>
          <w:i/>
          <w:vertAlign w:val="subscript"/>
        </w:rPr>
        <w:t> </w:t>
      </w:r>
      <w:r w:rsidRPr="00825550">
        <w:rPr>
          <w:i/>
        </w:rPr>
        <w:t>(aq)</w:t>
      </w:r>
      <w:r w:rsidRPr="00975918">
        <w:t>]</w:t>
      </w:r>
      <w:r>
        <w:t>).</w:t>
      </w:r>
    </w:p>
    <w:p w14:paraId="3FC3720D" w14:textId="77777777" w:rsidR="00E26870" w:rsidRPr="00A436E8" w:rsidRDefault="00E26870" w:rsidP="00E26870">
      <w:pPr>
        <w:pStyle w:val="ECEcorps"/>
      </w:pPr>
    </w:p>
    <w:p w14:paraId="046513BA" w14:textId="72F1C6E1" w:rsidR="0076698C" w:rsidRDefault="0076698C" w:rsidP="00CC2D98">
      <w:pPr>
        <w:pStyle w:val="ECEcorps"/>
        <w:jc w:val="center"/>
      </w:pPr>
      <w:r w:rsidRPr="00975918">
        <w:t>[</w:t>
      </w:r>
      <w:r w:rsidRPr="00E87653">
        <w:rPr>
          <w:i/>
        </w:rPr>
        <w:t>Cu(NH</w:t>
      </w:r>
      <w:r w:rsidRPr="00E87653">
        <w:rPr>
          <w:i/>
          <w:vertAlign w:val="subscript"/>
        </w:rPr>
        <w:t>3</w:t>
      </w:r>
      <w:r w:rsidRPr="00E87653">
        <w:rPr>
          <w:i/>
        </w:rPr>
        <w:t>)</w:t>
      </w:r>
      <w:r w:rsidRPr="00E87653">
        <w:rPr>
          <w:i/>
          <w:vertAlign w:val="subscript"/>
        </w:rPr>
        <w:t>4</w:t>
      </w:r>
      <w:r w:rsidRPr="00E87653">
        <w:rPr>
          <w:i/>
          <w:vertAlign w:val="superscript"/>
        </w:rPr>
        <w:t>2+</w:t>
      </w:r>
      <w:r w:rsidRPr="00E87653">
        <w:rPr>
          <w:i/>
          <w:vertAlign w:val="subscript"/>
        </w:rPr>
        <w:t> </w:t>
      </w:r>
      <w:r w:rsidRPr="00E87653">
        <w:rPr>
          <w:i/>
        </w:rPr>
        <w:t>(aq)</w:t>
      </w:r>
      <w:r w:rsidRPr="00975918">
        <w:t>]</w:t>
      </w:r>
      <w:r>
        <w:t xml:space="preserve">  =   ……………………………….</w:t>
      </w:r>
      <w:bookmarkStart w:id="7" w:name="_GoBack"/>
      <w:bookmarkEnd w:id="7"/>
    </w:p>
    <w:p w14:paraId="3D31F958" w14:textId="77777777" w:rsidR="0076698C" w:rsidRDefault="0076698C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3341A0E4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4C9C4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B14F07E" w14:textId="1E3517CC" w:rsidR="00E26870" w:rsidRDefault="00293121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D5AE64B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939B980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7C615E7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05433F46" w14:textId="77777777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7FDF19BF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CEBB2D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68E4EF2" w14:textId="77777777" w:rsidR="00E26870" w:rsidRDefault="00E26870" w:rsidP="00E26870">
      <w:pPr>
        <w:pStyle w:val="ECEcorps"/>
      </w:pPr>
    </w:p>
    <w:p w14:paraId="7C7785E2" w14:textId="77777777" w:rsidR="00E26870" w:rsidRPr="00D742A9" w:rsidRDefault="00E26870" w:rsidP="00E26870">
      <w:pPr>
        <w:pStyle w:val="ECEcorps"/>
      </w:pPr>
    </w:p>
    <w:p w14:paraId="1058257E" w14:textId="28BD99A0" w:rsidR="00E26870" w:rsidRPr="003C13F9" w:rsidRDefault="00085C21" w:rsidP="00E26870">
      <w:pPr>
        <w:pStyle w:val="ECEpartie"/>
      </w:pPr>
      <w:bookmarkStart w:id="8" w:name="_Toc482638815"/>
      <w:bookmarkStart w:id="9" w:name="_Toc500182692"/>
      <w:r>
        <w:t>Détermination de la concentration massique des ions nitrates</w:t>
      </w:r>
      <w:r w:rsidR="00E26870" w:rsidRPr="003C13F9">
        <w:t xml:space="preserve"> </w:t>
      </w:r>
      <w:r w:rsidR="00FA4869">
        <w:rPr>
          <w:b w:val="0"/>
          <w:bCs/>
        </w:rPr>
        <w:t>(2</w:t>
      </w:r>
      <w:r w:rsidR="00E26870" w:rsidRPr="00FF78A1">
        <w:rPr>
          <w:b w:val="0"/>
          <w:bCs/>
        </w:rPr>
        <w:t>0 minutes conseillées)</w:t>
      </w:r>
      <w:bookmarkEnd w:id="8"/>
      <w:bookmarkEnd w:id="9"/>
    </w:p>
    <w:p w14:paraId="20A305F4" w14:textId="77777777" w:rsidR="00E26870" w:rsidRDefault="00E26870" w:rsidP="00E26870">
      <w:pPr>
        <w:pStyle w:val="ECEcorps"/>
        <w:rPr>
          <w:rFonts w:eastAsia="Arial Unicode MS"/>
        </w:rPr>
      </w:pPr>
    </w:p>
    <w:p w14:paraId="3ACBCAD5" w14:textId="152F852C" w:rsidR="00EB60F9" w:rsidRDefault="00EB60F9" w:rsidP="00426390">
      <w:pPr>
        <w:pStyle w:val="ECEcorps"/>
      </w:pPr>
      <w:r>
        <w:t>Pourquoi effectuer des mesures de l’absorbance à la longueur d’onde de 600 nm ? Justifier.</w:t>
      </w:r>
    </w:p>
    <w:p w14:paraId="5499D5A7" w14:textId="77777777" w:rsidR="00EB60F9" w:rsidRPr="00204CD1" w:rsidRDefault="00EB60F9" w:rsidP="00EB60F9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5B1499D6" w14:textId="77777777" w:rsidR="00EB60F9" w:rsidRPr="00204CD1" w:rsidRDefault="00EB60F9" w:rsidP="00EB60F9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405E9111" w14:textId="77777777" w:rsidR="00EB60F9" w:rsidRPr="00204CD1" w:rsidRDefault="00EB60F9" w:rsidP="00EB60F9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06F0095A" w14:textId="77777777" w:rsidR="00EB60F9" w:rsidRDefault="00EB60F9" w:rsidP="00EB60F9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0C1C946D" w14:textId="595CD3FD" w:rsidR="0023437D" w:rsidRPr="0023437D" w:rsidRDefault="0023437D" w:rsidP="0023437D">
      <w:pPr>
        <w:pStyle w:val="ECEcorps"/>
      </w:pPr>
      <w:r>
        <w:rPr>
          <w:bCs/>
          <w:szCs w:val="22"/>
        </w:rPr>
        <w:lastRenderedPageBreak/>
        <w:t xml:space="preserve">Commenter l’allure de la courbe d’étalonnage </w:t>
      </w:r>
      <w:r w:rsidRPr="00975918">
        <w:rPr>
          <w:i/>
        </w:rPr>
        <w:t>A</w:t>
      </w:r>
      <w:r>
        <w:t> = f (</w:t>
      </w:r>
      <w:r w:rsidRPr="00975918">
        <w:t>[</w:t>
      </w:r>
      <w:r w:rsidRPr="00440AFD">
        <w:rPr>
          <w:i/>
        </w:rPr>
        <w:t>Cu(NH</w:t>
      </w:r>
      <w:r w:rsidRPr="00440AFD">
        <w:rPr>
          <w:i/>
          <w:vertAlign w:val="subscript"/>
        </w:rPr>
        <w:t>3</w:t>
      </w:r>
      <w:r w:rsidRPr="00440AFD">
        <w:rPr>
          <w:i/>
        </w:rPr>
        <w:t>)</w:t>
      </w:r>
      <w:r w:rsidRPr="00440AFD">
        <w:rPr>
          <w:i/>
          <w:vertAlign w:val="subscript"/>
        </w:rPr>
        <w:t>4</w:t>
      </w:r>
      <w:r w:rsidRPr="00440AFD">
        <w:rPr>
          <w:i/>
          <w:vertAlign w:val="superscript"/>
        </w:rPr>
        <w:t>2+</w:t>
      </w:r>
      <w:r w:rsidRPr="00440AFD">
        <w:rPr>
          <w:i/>
          <w:vertAlign w:val="subscript"/>
        </w:rPr>
        <w:t> </w:t>
      </w:r>
      <w:r w:rsidRPr="00440AFD">
        <w:rPr>
          <w:i/>
        </w:rPr>
        <w:t>(aq)</w:t>
      </w:r>
      <w:r w:rsidRPr="00975918">
        <w:t>]</w:t>
      </w:r>
      <w:r>
        <w:t>).</w:t>
      </w:r>
    </w:p>
    <w:p w14:paraId="112C7BD6" w14:textId="3F76D05F" w:rsidR="0023437D" w:rsidRPr="00204CD1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297817A" w14:textId="77777777" w:rsidR="0023437D" w:rsidRPr="00204CD1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394F2320" w14:textId="77777777" w:rsidR="0023437D" w:rsidRPr="00204CD1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2C035B91" w14:textId="77777777" w:rsidR="0023437D" w:rsidRPr="00204CD1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17DC9475" w14:textId="77777777" w:rsidR="0023437D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5311C18E" w14:textId="77777777" w:rsidR="0023437D" w:rsidRPr="00204CD1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6B3B4551" w14:textId="77777777" w:rsidR="0023437D" w:rsidRPr="00204CD1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17FE8C5" w14:textId="77777777" w:rsidR="0023437D" w:rsidRPr="00204CD1" w:rsidRDefault="0023437D" w:rsidP="0023437D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</w:p>
    <w:p w14:paraId="04380AA0" w14:textId="77777777" w:rsidR="0023437D" w:rsidRDefault="0023437D" w:rsidP="00426390">
      <w:pPr>
        <w:pStyle w:val="ECEcorps"/>
      </w:pPr>
    </w:p>
    <w:p w14:paraId="02FA3688" w14:textId="1A4A3DD6" w:rsidR="00293121" w:rsidRDefault="00426390" w:rsidP="00426390">
      <w:pPr>
        <w:pStyle w:val="ECEcorps"/>
      </w:pPr>
      <w:r>
        <w:t xml:space="preserve">Déterminer la valeur de la concentration massique en ion nitrate de l’eau de sources à l’aide des informations de la partie précédente et </w:t>
      </w:r>
      <w:r w:rsidR="00DB1968">
        <w:t>des informations</w:t>
      </w:r>
      <w:r>
        <w:t xml:space="preserve"> mis</w:t>
      </w:r>
      <w:r w:rsidR="00DB1968">
        <w:t>es</w:t>
      </w:r>
      <w:r>
        <w:t xml:space="preserve"> à dis</w:t>
      </w:r>
      <w:r w:rsidR="0023437D">
        <w:t>position.</w:t>
      </w:r>
    </w:p>
    <w:p w14:paraId="38F0801D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D6FACAD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40406860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01F10A90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172EE811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D899F07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23A6D1FF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51D2E041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21F1F56E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5A61524E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540AAF36" w14:textId="77777777" w:rsidR="00293121" w:rsidRDefault="00293121" w:rsidP="00426390">
      <w:pPr>
        <w:pStyle w:val="ECEcorps"/>
      </w:pPr>
    </w:p>
    <w:p w14:paraId="42379258" w14:textId="77777777" w:rsidR="0023437D" w:rsidRPr="00426390" w:rsidRDefault="0023437D" w:rsidP="00426390">
      <w:pPr>
        <w:pStyle w:val="ECEcorps"/>
      </w:pPr>
    </w:p>
    <w:p w14:paraId="1B2E209D" w14:textId="77777777" w:rsidR="00E26870" w:rsidRDefault="00E26870" w:rsidP="00E26870">
      <w:pPr>
        <w:pStyle w:val="ECEcorps"/>
      </w:pPr>
    </w:p>
    <w:p w14:paraId="53A5EB12" w14:textId="77777777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RPr="00887D9D" w14:paraId="38605532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F37E8AF" w14:textId="77777777" w:rsidR="00E26870" w:rsidRPr="00887D9D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EE63E91" w14:textId="77777777" w:rsidR="00E26870" w:rsidRPr="00887D9D" w:rsidRDefault="00E26870" w:rsidP="00527A98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21FB14F9" w14:textId="77777777" w:rsidR="00E26870" w:rsidRPr="00887D9D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RPr="00887D9D" w14:paraId="56751A21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2B1369B" w14:textId="77777777" w:rsidR="00E26870" w:rsidRPr="00887D9D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388B12C" w14:textId="77777777" w:rsidR="00E26870" w:rsidRPr="00887D9D" w:rsidRDefault="00E26870" w:rsidP="00527A98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E01CF28" w14:textId="77777777" w:rsidR="00E26870" w:rsidRPr="00887D9D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57853B4" w14:textId="77777777" w:rsidR="00E26870" w:rsidRDefault="00E26870" w:rsidP="00E26870">
      <w:pPr>
        <w:pStyle w:val="ECEcorps"/>
      </w:pPr>
    </w:p>
    <w:p w14:paraId="1469FD25" w14:textId="77777777" w:rsidR="0023437D" w:rsidRDefault="0023437D" w:rsidP="00E26870">
      <w:pPr>
        <w:pStyle w:val="ECEcorps"/>
      </w:pPr>
    </w:p>
    <w:p w14:paraId="4121387A" w14:textId="77777777" w:rsidR="0023437D" w:rsidRDefault="0023437D" w:rsidP="00E26870">
      <w:pPr>
        <w:pStyle w:val="ECEcorps"/>
      </w:pPr>
    </w:p>
    <w:p w14:paraId="5BDF215F" w14:textId="77777777" w:rsidR="0023437D" w:rsidRDefault="0023437D" w:rsidP="00E26870">
      <w:pPr>
        <w:pStyle w:val="ECEcorps"/>
      </w:pPr>
    </w:p>
    <w:p w14:paraId="1A101766" w14:textId="77777777" w:rsidR="0023437D" w:rsidRDefault="0023437D" w:rsidP="00E26870">
      <w:pPr>
        <w:pStyle w:val="ECEcorps"/>
      </w:pPr>
    </w:p>
    <w:p w14:paraId="765E6E61" w14:textId="7FC6EEE3" w:rsidR="0023437D" w:rsidRDefault="0023437D" w:rsidP="00E26870">
      <w:pPr>
        <w:pStyle w:val="ECEcorps"/>
      </w:pPr>
    </w:p>
    <w:p w14:paraId="0DC77AAC" w14:textId="77777777" w:rsidR="00DB1968" w:rsidRDefault="00DB1968" w:rsidP="00E26870">
      <w:pPr>
        <w:pStyle w:val="ECEcorps"/>
      </w:pPr>
    </w:p>
    <w:p w14:paraId="543019EC" w14:textId="77777777" w:rsidR="00E26870" w:rsidRDefault="00E26870" w:rsidP="00E26870">
      <w:pPr>
        <w:pStyle w:val="ECEcorps"/>
        <w:rPr>
          <w:rFonts w:eastAsia="Arial Unicode MS"/>
        </w:rPr>
      </w:pPr>
    </w:p>
    <w:p w14:paraId="545F6466" w14:textId="380B634F" w:rsidR="00E26870" w:rsidRPr="003C13F9" w:rsidRDefault="008E5F9D" w:rsidP="00E26870">
      <w:pPr>
        <w:pStyle w:val="ECEpartie"/>
      </w:pPr>
      <w:bookmarkStart w:id="10" w:name="_Toc482638816"/>
      <w:bookmarkStart w:id="11" w:name="_Toc500182693"/>
      <w:r>
        <w:lastRenderedPageBreak/>
        <w:t>Utilisation pour une</w:t>
      </w:r>
      <w:r w:rsidR="00FA4869">
        <w:t xml:space="preserve"> consommation quotidienne</w:t>
      </w:r>
      <w:r w:rsidR="00E26870" w:rsidRPr="003C13F9">
        <w:t xml:space="preserve"> </w:t>
      </w:r>
      <w:r w:rsidR="00FA4869">
        <w:rPr>
          <w:b w:val="0"/>
          <w:bCs/>
        </w:rPr>
        <w:t>(</w:t>
      </w:r>
      <w:r w:rsidR="00E26870" w:rsidRPr="00FF78A1">
        <w:rPr>
          <w:b w:val="0"/>
          <w:bCs/>
        </w:rPr>
        <w:t>10 minutes conseillées)</w:t>
      </w:r>
      <w:bookmarkEnd w:id="10"/>
      <w:bookmarkEnd w:id="11"/>
    </w:p>
    <w:p w14:paraId="6A9B8BF2" w14:textId="77777777" w:rsidR="00E26870" w:rsidRDefault="00E26870" w:rsidP="00E26870">
      <w:pPr>
        <w:pStyle w:val="ECEcorps"/>
        <w:rPr>
          <w:b/>
        </w:rPr>
      </w:pPr>
    </w:p>
    <w:p w14:paraId="246ADC21" w14:textId="38CDC9C8" w:rsidR="00FA4869" w:rsidRDefault="00293121" w:rsidP="00E26870">
      <w:pPr>
        <w:pStyle w:val="ECEcorps"/>
      </w:pPr>
      <w:r>
        <w:t>Par hypothèse, les Doses Journalières Acceptables (DJA) des espèces chimique</w:t>
      </w:r>
      <w:r w:rsidR="00EB60F9">
        <w:t>s</w:t>
      </w:r>
      <w:r>
        <w:t xml:space="preserve"> a</w:t>
      </w:r>
      <w:r w:rsidR="00524ECA">
        <w:t>utres que la DJA des nitrates n</w:t>
      </w:r>
      <w:r>
        <w:t>e</w:t>
      </w:r>
      <w:r w:rsidR="00524ECA">
        <w:t xml:space="preserve"> </w:t>
      </w:r>
      <w:r>
        <w:t>s</w:t>
      </w:r>
      <w:r w:rsidR="00524ECA">
        <w:t>on</w:t>
      </w:r>
      <w:r>
        <w:t>t pas prises en compte.</w:t>
      </w:r>
      <w:r w:rsidR="00EB60F9">
        <w:t xml:space="preserve"> On considère une personne dont la masse corporelle est de 60</w:t>
      </w:r>
      <w:r w:rsidR="00F51293">
        <w:t>,0</w:t>
      </w:r>
      <w:r w:rsidR="00EB60F9">
        <w:t xml:space="preserve"> kg.</w:t>
      </w:r>
    </w:p>
    <w:p w14:paraId="61B212EF" w14:textId="77777777" w:rsidR="00EB60F9" w:rsidRDefault="00EB60F9" w:rsidP="00E26870">
      <w:pPr>
        <w:pStyle w:val="ECEcorps"/>
      </w:pPr>
    </w:p>
    <w:p w14:paraId="0C110BD5" w14:textId="49C2E19C" w:rsidR="0075261E" w:rsidRPr="00FA4869" w:rsidRDefault="0075261E" w:rsidP="0075261E">
      <w:pPr>
        <w:pStyle w:val="ECEcorps"/>
      </w:pPr>
      <w:r>
        <w:t>Par hypothèse, on considère que cette ea</w:t>
      </w:r>
      <w:r w:rsidR="00A379B4">
        <w:t>u est le seul apport en nitrate</w:t>
      </w:r>
      <w:r>
        <w:t xml:space="preserve"> dans l’alimentation. Combien de litres de cette eau de source</w:t>
      </w:r>
      <w:r w:rsidR="00524ECA">
        <w:t xml:space="preserve"> une personne de 60</w:t>
      </w:r>
      <w:r w:rsidR="00F51293">
        <w:t>,0</w:t>
      </w:r>
      <w:r w:rsidR="00524ECA">
        <w:t xml:space="preserve"> kilogrammes peut-elle</w:t>
      </w:r>
      <w:r>
        <w:t xml:space="preserve"> alors boire</w:t>
      </w:r>
      <w:r w:rsidR="008D380C">
        <w:t xml:space="preserve"> </w:t>
      </w:r>
      <w:r>
        <w:t>? Justifier.</w:t>
      </w:r>
    </w:p>
    <w:p w14:paraId="1104E0B1" w14:textId="77777777" w:rsidR="003E4DB5" w:rsidRPr="00204CD1" w:rsidRDefault="003E4DB5" w:rsidP="003E4DB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032C8EFE" w14:textId="77777777" w:rsidR="003E4DB5" w:rsidRPr="00204CD1" w:rsidRDefault="003E4DB5" w:rsidP="003E4DB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5F764B96" w14:textId="77777777" w:rsidR="003E4DB5" w:rsidRPr="00204CD1" w:rsidRDefault="003E4DB5" w:rsidP="003E4DB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583EA4DE" w14:textId="77777777" w:rsidR="003E4DB5" w:rsidRPr="00204CD1" w:rsidRDefault="003E4DB5" w:rsidP="003E4DB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647AE4A" w14:textId="77777777" w:rsidR="003E4DB5" w:rsidRPr="00204CD1" w:rsidRDefault="003E4DB5" w:rsidP="003E4DB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36F63E53" w14:textId="77777777" w:rsidR="003E4DB5" w:rsidRPr="00204CD1" w:rsidRDefault="003E4DB5" w:rsidP="003E4DB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1FC1D025" w14:textId="77777777" w:rsidR="003E4DB5" w:rsidRPr="00204CD1" w:rsidRDefault="003E4DB5" w:rsidP="003E4DB5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50BD31C" w14:textId="77777777" w:rsidR="003E4DB5" w:rsidRDefault="003E4DB5" w:rsidP="00E26870">
      <w:pPr>
        <w:pStyle w:val="ECEcorps"/>
      </w:pPr>
    </w:p>
    <w:p w14:paraId="695AD4AF" w14:textId="77777777" w:rsidR="003E4DB5" w:rsidRDefault="003E4DB5" w:rsidP="00E26870">
      <w:pPr>
        <w:pStyle w:val="ECEcorps"/>
      </w:pPr>
    </w:p>
    <w:p w14:paraId="61AEC90A" w14:textId="33B2E7ED" w:rsidR="003E4DB5" w:rsidRDefault="0075261E" w:rsidP="00E26870">
      <w:pPr>
        <w:pStyle w:val="ECEcorps"/>
      </w:pPr>
      <w:r>
        <w:t>L’eau de source étudiée</w:t>
      </w:r>
      <w:r w:rsidR="00496AEA">
        <w:t xml:space="preserve"> p</w:t>
      </w:r>
      <w:r w:rsidR="00524ECA">
        <w:t xml:space="preserve">eut-elle être bue quotidiennement ou ponctuellement </w:t>
      </w:r>
      <w:r>
        <w:t>? Justifier la démarche utilisée.</w:t>
      </w:r>
    </w:p>
    <w:p w14:paraId="06F84971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E262CEB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19962E68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317F0900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718907D5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30FE777B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2D3A8253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38A67F6C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667320D5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69BF79F9" w14:textId="77777777" w:rsidR="00293121" w:rsidRPr="00204CD1" w:rsidRDefault="00293121" w:rsidP="00293121">
      <w:pPr>
        <w:autoSpaceDE w:val="0"/>
        <w:autoSpaceDN w:val="0"/>
        <w:adjustRightInd w:val="0"/>
        <w:spacing w:before="240" w:line="240" w:lineRule="auto"/>
        <w:rPr>
          <w:bCs/>
          <w:color w:val="auto"/>
          <w:szCs w:val="22"/>
        </w:rPr>
      </w:pPr>
      <w:r w:rsidRPr="00204CD1">
        <w:rPr>
          <w:bCs/>
          <w:color w:val="auto"/>
          <w:szCs w:val="22"/>
        </w:rPr>
        <w:t>…………………………………………………………………………………………………..……….………..………………..</w:t>
      </w:r>
    </w:p>
    <w:p w14:paraId="629F4FE7" w14:textId="77777777" w:rsidR="00293121" w:rsidRDefault="00293121" w:rsidP="00E26870">
      <w:pPr>
        <w:pStyle w:val="ECEcorps"/>
        <w:rPr>
          <w:b/>
        </w:rPr>
      </w:pPr>
    </w:p>
    <w:p w14:paraId="14C93B65" w14:textId="77777777" w:rsidR="00293121" w:rsidRDefault="00293121" w:rsidP="00E26870">
      <w:pPr>
        <w:pStyle w:val="ECEcorps"/>
        <w:rPr>
          <w:b/>
        </w:rPr>
      </w:pPr>
    </w:p>
    <w:p w14:paraId="399C7F33" w14:textId="4CED07F5" w:rsidR="00D9338B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p w14:paraId="0CB55BE8" w14:textId="77777777" w:rsidR="00A23DDF" w:rsidRDefault="00A23DDF" w:rsidP="00337F03">
      <w:pPr>
        <w:pStyle w:val="ECEcorps"/>
        <w:rPr>
          <w:b/>
        </w:rPr>
      </w:pPr>
    </w:p>
    <w:p w14:paraId="24939705" w14:textId="77777777" w:rsidR="00A23DDF" w:rsidRDefault="00A23DDF" w:rsidP="00337F03">
      <w:pPr>
        <w:pStyle w:val="ECEcorps"/>
        <w:rPr>
          <w:b/>
        </w:rPr>
      </w:pPr>
    </w:p>
    <w:p w14:paraId="4D155616" w14:textId="77777777" w:rsidR="00A23DDF" w:rsidRPr="00A23DDF" w:rsidRDefault="00A23DDF" w:rsidP="00337F03">
      <w:pPr>
        <w:pStyle w:val="ECEcorps"/>
      </w:pPr>
    </w:p>
    <w:sectPr w:rsidR="00A23DDF" w:rsidRPr="00A23DDF" w:rsidSect="00680CBA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F0D8" w14:textId="77777777" w:rsidR="003D434F" w:rsidRDefault="003D434F" w:rsidP="0008058B">
      <w:r>
        <w:separator/>
      </w:r>
    </w:p>
  </w:endnote>
  <w:endnote w:type="continuationSeparator" w:id="0">
    <w:p w14:paraId="5ED46403" w14:textId="77777777" w:rsidR="003D434F" w:rsidRDefault="003D434F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EF49" w14:textId="6BA430B0" w:rsidR="00EB60F9" w:rsidRPr="00827238" w:rsidRDefault="00EB60F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CC2D98">
      <w:rPr>
        <w:noProof/>
      </w:rPr>
      <w:t>1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CC2D9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38E0" w14:textId="77777777" w:rsidR="003D434F" w:rsidRDefault="003D434F" w:rsidP="0008058B">
      <w:r>
        <w:separator/>
      </w:r>
    </w:p>
  </w:footnote>
  <w:footnote w:type="continuationSeparator" w:id="0">
    <w:p w14:paraId="66B51039" w14:textId="77777777" w:rsidR="003D434F" w:rsidRDefault="003D434F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E05B8" w14:textId="77B2070B" w:rsidR="00EB60F9" w:rsidRDefault="00EB60F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CC2D98">
      <w:rPr>
        <w:b/>
        <w:sz w:val="24"/>
        <w:szCs w:val="24"/>
      </w:rPr>
      <w:t>DES NITRATES DANS L’EAU</w:t>
    </w:r>
    <w:r>
      <w:tab/>
      <w:t>Session</w:t>
    </w:r>
  </w:p>
  <w:p w14:paraId="37DE348B" w14:textId="156AC3F9" w:rsidR="00EB60F9" w:rsidRDefault="00EB60F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2021</w:t>
    </w:r>
  </w:p>
  <w:p w14:paraId="62928406" w14:textId="77777777" w:rsidR="00EB60F9" w:rsidRDefault="00EB60F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hybridMultilevel"/>
    <w:tmpl w:val="BDDC2958"/>
    <w:lvl w:ilvl="0" w:tplc="344A830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2106"/>
    <w:multiLevelType w:val="hybridMultilevel"/>
    <w:tmpl w:val="CE38C43C"/>
    <w:lvl w:ilvl="0" w:tplc="DA3CEB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06"/>
    <w:rsid w:val="000007E9"/>
    <w:rsid w:val="00004673"/>
    <w:rsid w:val="00024878"/>
    <w:rsid w:val="0003345D"/>
    <w:rsid w:val="00036419"/>
    <w:rsid w:val="000452AF"/>
    <w:rsid w:val="0005057E"/>
    <w:rsid w:val="0005391B"/>
    <w:rsid w:val="00057279"/>
    <w:rsid w:val="00060606"/>
    <w:rsid w:val="000730EC"/>
    <w:rsid w:val="0008058B"/>
    <w:rsid w:val="00085C21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3D7B"/>
    <w:rsid w:val="000D4C7E"/>
    <w:rsid w:val="000E11E8"/>
    <w:rsid w:val="000E6A01"/>
    <w:rsid w:val="000E6CD3"/>
    <w:rsid w:val="000F09CE"/>
    <w:rsid w:val="000F2199"/>
    <w:rsid w:val="000F4F58"/>
    <w:rsid w:val="000F5562"/>
    <w:rsid w:val="00117BB9"/>
    <w:rsid w:val="001227DD"/>
    <w:rsid w:val="00127337"/>
    <w:rsid w:val="0013056C"/>
    <w:rsid w:val="00136091"/>
    <w:rsid w:val="00154171"/>
    <w:rsid w:val="00154704"/>
    <w:rsid w:val="0016304D"/>
    <w:rsid w:val="001647FC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21B3"/>
    <w:rsid w:val="001E36BA"/>
    <w:rsid w:val="001E6BF0"/>
    <w:rsid w:val="001F2B63"/>
    <w:rsid w:val="001F3BEA"/>
    <w:rsid w:val="001F42A2"/>
    <w:rsid w:val="001F5398"/>
    <w:rsid w:val="001F6316"/>
    <w:rsid w:val="001F67FD"/>
    <w:rsid w:val="0022114B"/>
    <w:rsid w:val="00222333"/>
    <w:rsid w:val="00224BA9"/>
    <w:rsid w:val="0023437D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873BC"/>
    <w:rsid w:val="00293121"/>
    <w:rsid w:val="002967B1"/>
    <w:rsid w:val="00297830"/>
    <w:rsid w:val="002A25F7"/>
    <w:rsid w:val="002B2244"/>
    <w:rsid w:val="002B44A4"/>
    <w:rsid w:val="002C3CC3"/>
    <w:rsid w:val="002C4762"/>
    <w:rsid w:val="002E3363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37F03"/>
    <w:rsid w:val="00343196"/>
    <w:rsid w:val="00344874"/>
    <w:rsid w:val="00351073"/>
    <w:rsid w:val="00356DD6"/>
    <w:rsid w:val="0036565C"/>
    <w:rsid w:val="00366A24"/>
    <w:rsid w:val="00367552"/>
    <w:rsid w:val="00374478"/>
    <w:rsid w:val="0037570D"/>
    <w:rsid w:val="00380A67"/>
    <w:rsid w:val="003839E3"/>
    <w:rsid w:val="003869AD"/>
    <w:rsid w:val="00392182"/>
    <w:rsid w:val="0039367C"/>
    <w:rsid w:val="00397E4F"/>
    <w:rsid w:val="003A114B"/>
    <w:rsid w:val="003A3691"/>
    <w:rsid w:val="003B15C1"/>
    <w:rsid w:val="003B41FF"/>
    <w:rsid w:val="003C0A55"/>
    <w:rsid w:val="003C13F9"/>
    <w:rsid w:val="003C6A7A"/>
    <w:rsid w:val="003D2DB2"/>
    <w:rsid w:val="003D434F"/>
    <w:rsid w:val="003E4DB5"/>
    <w:rsid w:val="003E6D3A"/>
    <w:rsid w:val="003F5DFB"/>
    <w:rsid w:val="00400882"/>
    <w:rsid w:val="004143AF"/>
    <w:rsid w:val="004158D2"/>
    <w:rsid w:val="00426390"/>
    <w:rsid w:val="00426778"/>
    <w:rsid w:val="00430881"/>
    <w:rsid w:val="004314C1"/>
    <w:rsid w:val="00440AFD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96AEA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4057"/>
    <w:rsid w:val="0051466E"/>
    <w:rsid w:val="00514F40"/>
    <w:rsid w:val="00524ECA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72123"/>
    <w:rsid w:val="00574D92"/>
    <w:rsid w:val="005827DD"/>
    <w:rsid w:val="00593DD4"/>
    <w:rsid w:val="005A3ADA"/>
    <w:rsid w:val="005A6352"/>
    <w:rsid w:val="005F3ABA"/>
    <w:rsid w:val="006017BB"/>
    <w:rsid w:val="00603240"/>
    <w:rsid w:val="00603814"/>
    <w:rsid w:val="00604CAE"/>
    <w:rsid w:val="0060508C"/>
    <w:rsid w:val="006220B0"/>
    <w:rsid w:val="00622A2D"/>
    <w:rsid w:val="006256F1"/>
    <w:rsid w:val="00634760"/>
    <w:rsid w:val="00641949"/>
    <w:rsid w:val="00641C53"/>
    <w:rsid w:val="00670A39"/>
    <w:rsid w:val="0067559A"/>
    <w:rsid w:val="00675DF7"/>
    <w:rsid w:val="00680CBA"/>
    <w:rsid w:val="0068242C"/>
    <w:rsid w:val="00693925"/>
    <w:rsid w:val="00693B5B"/>
    <w:rsid w:val="006A0F26"/>
    <w:rsid w:val="006A1119"/>
    <w:rsid w:val="006A4982"/>
    <w:rsid w:val="006C3642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6B78"/>
    <w:rsid w:val="00741025"/>
    <w:rsid w:val="007479C4"/>
    <w:rsid w:val="00750D77"/>
    <w:rsid w:val="00751CCC"/>
    <w:rsid w:val="0075261E"/>
    <w:rsid w:val="00752C74"/>
    <w:rsid w:val="00762F0F"/>
    <w:rsid w:val="0076698C"/>
    <w:rsid w:val="00777A5A"/>
    <w:rsid w:val="00791883"/>
    <w:rsid w:val="007955D1"/>
    <w:rsid w:val="00795BD5"/>
    <w:rsid w:val="007A2EEC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0589A"/>
    <w:rsid w:val="0081247E"/>
    <w:rsid w:val="008139E7"/>
    <w:rsid w:val="00814D65"/>
    <w:rsid w:val="008212D5"/>
    <w:rsid w:val="00825550"/>
    <w:rsid w:val="00827238"/>
    <w:rsid w:val="008351D2"/>
    <w:rsid w:val="00845581"/>
    <w:rsid w:val="00845CFB"/>
    <w:rsid w:val="00847ABA"/>
    <w:rsid w:val="00847E64"/>
    <w:rsid w:val="00862E84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3EA1"/>
    <w:rsid w:val="008A4322"/>
    <w:rsid w:val="008A66EA"/>
    <w:rsid w:val="008B1679"/>
    <w:rsid w:val="008B1B0C"/>
    <w:rsid w:val="008B3457"/>
    <w:rsid w:val="008C32B8"/>
    <w:rsid w:val="008C38F0"/>
    <w:rsid w:val="008C5E45"/>
    <w:rsid w:val="008D2329"/>
    <w:rsid w:val="008D380C"/>
    <w:rsid w:val="008D5BC6"/>
    <w:rsid w:val="008D5E1C"/>
    <w:rsid w:val="008D5E24"/>
    <w:rsid w:val="008E0208"/>
    <w:rsid w:val="008E58B1"/>
    <w:rsid w:val="008E5F9D"/>
    <w:rsid w:val="008E6EA4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34666"/>
    <w:rsid w:val="009362F7"/>
    <w:rsid w:val="009407A6"/>
    <w:rsid w:val="00943326"/>
    <w:rsid w:val="0094436A"/>
    <w:rsid w:val="009506E7"/>
    <w:rsid w:val="00953B67"/>
    <w:rsid w:val="00955A08"/>
    <w:rsid w:val="00956745"/>
    <w:rsid w:val="00961955"/>
    <w:rsid w:val="00965FA8"/>
    <w:rsid w:val="009721BE"/>
    <w:rsid w:val="00975918"/>
    <w:rsid w:val="00975D81"/>
    <w:rsid w:val="00976398"/>
    <w:rsid w:val="00977D3F"/>
    <w:rsid w:val="009850FD"/>
    <w:rsid w:val="009903B6"/>
    <w:rsid w:val="009A5591"/>
    <w:rsid w:val="009B3241"/>
    <w:rsid w:val="009C268C"/>
    <w:rsid w:val="009D5DFA"/>
    <w:rsid w:val="009E0132"/>
    <w:rsid w:val="009E02D9"/>
    <w:rsid w:val="009E173E"/>
    <w:rsid w:val="009E1809"/>
    <w:rsid w:val="009E1FCF"/>
    <w:rsid w:val="009F3076"/>
    <w:rsid w:val="009F43E0"/>
    <w:rsid w:val="00A01302"/>
    <w:rsid w:val="00A0203A"/>
    <w:rsid w:val="00A027BC"/>
    <w:rsid w:val="00A05EB9"/>
    <w:rsid w:val="00A07EA8"/>
    <w:rsid w:val="00A12834"/>
    <w:rsid w:val="00A16872"/>
    <w:rsid w:val="00A23DDF"/>
    <w:rsid w:val="00A260A0"/>
    <w:rsid w:val="00A27074"/>
    <w:rsid w:val="00A35262"/>
    <w:rsid w:val="00A37761"/>
    <w:rsid w:val="00A379B4"/>
    <w:rsid w:val="00A436E8"/>
    <w:rsid w:val="00A446AD"/>
    <w:rsid w:val="00A52B59"/>
    <w:rsid w:val="00A55BF0"/>
    <w:rsid w:val="00A5619C"/>
    <w:rsid w:val="00A60B25"/>
    <w:rsid w:val="00A60CAA"/>
    <w:rsid w:val="00A611F0"/>
    <w:rsid w:val="00A649FE"/>
    <w:rsid w:val="00A70DFA"/>
    <w:rsid w:val="00A71863"/>
    <w:rsid w:val="00A834A5"/>
    <w:rsid w:val="00A960AB"/>
    <w:rsid w:val="00A96E30"/>
    <w:rsid w:val="00AB1C2D"/>
    <w:rsid w:val="00AB3749"/>
    <w:rsid w:val="00AC1F4D"/>
    <w:rsid w:val="00AC48FD"/>
    <w:rsid w:val="00AD1605"/>
    <w:rsid w:val="00AD3368"/>
    <w:rsid w:val="00AE1C5F"/>
    <w:rsid w:val="00AE5DC8"/>
    <w:rsid w:val="00AF12DB"/>
    <w:rsid w:val="00B109D5"/>
    <w:rsid w:val="00B135A8"/>
    <w:rsid w:val="00B1701C"/>
    <w:rsid w:val="00B3421A"/>
    <w:rsid w:val="00B35967"/>
    <w:rsid w:val="00B37749"/>
    <w:rsid w:val="00B40BD5"/>
    <w:rsid w:val="00B40C58"/>
    <w:rsid w:val="00B413B0"/>
    <w:rsid w:val="00B42CED"/>
    <w:rsid w:val="00B4586C"/>
    <w:rsid w:val="00B4612A"/>
    <w:rsid w:val="00B4698B"/>
    <w:rsid w:val="00B46D6D"/>
    <w:rsid w:val="00B46EC2"/>
    <w:rsid w:val="00B55D28"/>
    <w:rsid w:val="00B63ABE"/>
    <w:rsid w:val="00B64DBE"/>
    <w:rsid w:val="00B74C02"/>
    <w:rsid w:val="00B7616B"/>
    <w:rsid w:val="00B827D4"/>
    <w:rsid w:val="00B90845"/>
    <w:rsid w:val="00BA7028"/>
    <w:rsid w:val="00BB4EA6"/>
    <w:rsid w:val="00BB5D1A"/>
    <w:rsid w:val="00BD2046"/>
    <w:rsid w:val="00BE2432"/>
    <w:rsid w:val="00BF194C"/>
    <w:rsid w:val="00BF45AB"/>
    <w:rsid w:val="00BF661D"/>
    <w:rsid w:val="00C03A82"/>
    <w:rsid w:val="00C06213"/>
    <w:rsid w:val="00C16032"/>
    <w:rsid w:val="00C17467"/>
    <w:rsid w:val="00C2065A"/>
    <w:rsid w:val="00C22A4C"/>
    <w:rsid w:val="00C23E7C"/>
    <w:rsid w:val="00C24FEE"/>
    <w:rsid w:val="00C3270A"/>
    <w:rsid w:val="00C41B19"/>
    <w:rsid w:val="00C41EB2"/>
    <w:rsid w:val="00C43F6C"/>
    <w:rsid w:val="00C467EB"/>
    <w:rsid w:val="00C550C6"/>
    <w:rsid w:val="00C60133"/>
    <w:rsid w:val="00C60969"/>
    <w:rsid w:val="00C60BE5"/>
    <w:rsid w:val="00C623E7"/>
    <w:rsid w:val="00C74BFD"/>
    <w:rsid w:val="00CA1A4D"/>
    <w:rsid w:val="00CC2D98"/>
    <w:rsid w:val="00CC57B9"/>
    <w:rsid w:val="00CC695B"/>
    <w:rsid w:val="00CD1F8A"/>
    <w:rsid w:val="00CD300B"/>
    <w:rsid w:val="00CE4EF5"/>
    <w:rsid w:val="00CE6AA4"/>
    <w:rsid w:val="00D0324F"/>
    <w:rsid w:val="00D056E7"/>
    <w:rsid w:val="00D073A6"/>
    <w:rsid w:val="00D17C10"/>
    <w:rsid w:val="00D20F73"/>
    <w:rsid w:val="00D21E91"/>
    <w:rsid w:val="00D22FCF"/>
    <w:rsid w:val="00D32EF2"/>
    <w:rsid w:val="00D40198"/>
    <w:rsid w:val="00D610A3"/>
    <w:rsid w:val="00D64332"/>
    <w:rsid w:val="00D658D3"/>
    <w:rsid w:val="00D67FB9"/>
    <w:rsid w:val="00D71803"/>
    <w:rsid w:val="00D742A9"/>
    <w:rsid w:val="00D82237"/>
    <w:rsid w:val="00D9338B"/>
    <w:rsid w:val="00D9649A"/>
    <w:rsid w:val="00D96B92"/>
    <w:rsid w:val="00D96FEA"/>
    <w:rsid w:val="00DA2084"/>
    <w:rsid w:val="00DA6E08"/>
    <w:rsid w:val="00DB1968"/>
    <w:rsid w:val="00DB6AEE"/>
    <w:rsid w:val="00DC1C63"/>
    <w:rsid w:val="00DD02A8"/>
    <w:rsid w:val="00DD3429"/>
    <w:rsid w:val="00DE1294"/>
    <w:rsid w:val="00DE3D26"/>
    <w:rsid w:val="00DE6F64"/>
    <w:rsid w:val="00DE7B24"/>
    <w:rsid w:val="00DF3178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1186"/>
    <w:rsid w:val="00E34C70"/>
    <w:rsid w:val="00E3791C"/>
    <w:rsid w:val="00E438C3"/>
    <w:rsid w:val="00E46864"/>
    <w:rsid w:val="00E520C6"/>
    <w:rsid w:val="00E56A7B"/>
    <w:rsid w:val="00E56D83"/>
    <w:rsid w:val="00E701DD"/>
    <w:rsid w:val="00E74827"/>
    <w:rsid w:val="00E749E8"/>
    <w:rsid w:val="00E81F3D"/>
    <w:rsid w:val="00E85DDA"/>
    <w:rsid w:val="00E8756E"/>
    <w:rsid w:val="00E87653"/>
    <w:rsid w:val="00E961C1"/>
    <w:rsid w:val="00E96228"/>
    <w:rsid w:val="00EA6D12"/>
    <w:rsid w:val="00EB30F0"/>
    <w:rsid w:val="00EB60F9"/>
    <w:rsid w:val="00EC4179"/>
    <w:rsid w:val="00EE0587"/>
    <w:rsid w:val="00EE12CE"/>
    <w:rsid w:val="00EE308A"/>
    <w:rsid w:val="00EE3251"/>
    <w:rsid w:val="00EF1517"/>
    <w:rsid w:val="00EF233B"/>
    <w:rsid w:val="00EF25B5"/>
    <w:rsid w:val="00F01722"/>
    <w:rsid w:val="00F07F89"/>
    <w:rsid w:val="00F10905"/>
    <w:rsid w:val="00F11BD2"/>
    <w:rsid w:val="00F14501"/>
    <w:rsid w:val="00F15700"/>
    <w:rsid w:val="00F20118"/>
    <w:rsid w:val="00F24543"/>
    <w:rsid w:val="00F31C5B"/>
    <w:rsid w:val="00F35C1A"/>
    <w:rsid w:val="00F371EF"/>
    <w:rsid w:val="00F51293"/>
    <w:rsid w:val="00F53A08"/>
    <w:rsid w:val="00F60C94"/>
    <w:rsid w:val="00F6137F"/>
    <w:rsid w:val="00F61869"/>
    <w:rsid w:val="00F65642"/>
    <w:rsid w:val="00F66787"/>
    <w:rsid w:val="00F879D2"/>
    <w:rsid w:val="00FA4869"/>
    <w:rsid w:val="00FB14E2"/>
    <w:rsid w:val="00FB25E2"/>
    <w:rsid w:val="00FB2CA9"/>
    <w:rsid w:val="00FD0DC2"/>
    <w:rsid w:val="00FE4C5A"/>
    <w:rsid w:val="00FE6107"/>
    <w:rsid w:val="00FE6ED7"/>
    <w:rsid w:val="00FF43F1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3BD525"/>
  <w15:docId w15:val="{084D9096-5998-4F49-AA40-3248242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FB0DD-14EB-4AA1-8F5E-D69E2CC1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753</TotalTime>
  <Pages>5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CES53</cp:lastModifiedBy>
  <cp:revision>38</cp:revision>
  <cp:lastPrinted>2014-07-07T13:51:00Z</cp:lastPrinted>
  <dcterms:created xsi:type="dcterms:W3CDTF">2020-04-14T22:27:00Z</dcterms:created>
  <dcterms:modified xsi:type="dcterms:W3CDTF">2020-12-01T13:40:00Z</dcterms:modified>
</cp:coreProperties>
</file>