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23CE4" w14:textId="77777777" w:rsidR="001B3A32" w:rsidRDefault="003B6332">
      <w:pPr>
        <w:pStyle w:val="ECEbordure"/>
        <w:jc w:val="center"/>
        <w:rPr>
          <w:b/>
          <w:sz w:val="24"/>
          <w:szCs w:val="24"/>
        </w:rPr>
      </w:pPr>
      <w:r>
        <w:rPr>
          <w:b/>
          <w:sz w:val="24"/>
          <w:szCs w:val="24"/>
        </w:rPr>
        <w:t>BACCALAURÉAT G</w:t>
      </w:r>
      <w:r>
        <w:rPr>
          <w:rFonts w:eastAsia="Arial Unicode MS"/>
          <w:b/>
          <w:sz w:val="24"/>
          <w:szCs w:val="24"/>
        </w:rPr>
        <w:t>É</w:t>
      </w:r>
      <w:r>
        <w:rPr>
          <w:b/>
          <w:sz w:val="24"/>
          <w:szCs w:val="24"/>
        </w:rPr>
        <w:t>N</w:t>
      </w:r>
      <w:r>
        <w:rPr>
          <w:rFonts w:eastAsia="Arial Unicode MS"/>
          <w:b/>
          <w:sz w:val="24"/>
          <w:szCs w:val="24"/>
        </w:rPr>
        <w:t>É</w:t>
      </w:r>
      <w:r>
        <w:rPr>
          <w:b/>
          <w:sz w:val="24"/>
          <w:szCs w:val="24"/>
        </w:rPr>
        <w:t>RAL</w:t>
      </w:r>
    </w:p>
    <w:p w14:paraId="2276D684" w14:textId="77777777" w:rsidR="001B3A32" w:rsidRDefault="001B3A32">
      <w:pPr>
        <w:pStyle w:val="ECEbordure"/>
        <w:jc w:val="center"/>
        <w:rPr>
          <w:b/>
          <w:sz w:val="24"/>
          <w:szCs w:val="24"/>
        </w:rPr>
      </w:pPr>
    </w:p>
    <w:p w14:paraId="441037B5" w14:textId="77777777" w:rsidR="001B3A32" w:rsidRDefault="003B6332">
      <w:pPr>
        <w:pStyle w:val="ECEbordure"/>
        <w:jc w:val="center"/>
        <w:rPr>
          <w:b/>
          <w:sz w:val="24"/>
          <w:szCs w:val="24"/>
        </w:rPr>
      </w:pPr>
      <w:r>
        <w:rPr>
          <w:rFonts w:eastAsia="Arial Unicode MS"/>
          <w:b/>
          <w:sz w:val="24"/>
          <w:szCs w:val="24"/>
        </w:rPr>
        <w:t>Épreuve pratique de l’enseignement de spécialité physique-chimie</w:t>
      </w:r>
    </w:p>
    <w:p w14:paraId="3D35E59C" w14:textId="77777777" w:rsidR="001B3A32" w:rsidRDefault="003B6332">
      <w:pPr>
        <w:pStyle w:val="ECEbordure"/>
        <w:jc w:val="center"/>
        <w:rPr>
          <w:b/>
          <w:sz w:val="24"/>
          <w:szCs w:val="24"/>
        </w:rPr>
      </w:pPr>
      <w:r>
        <w:rPr>
          <w:b/>
          <w:sz w:val="24"/>
          <w:szCs w:val="24"/>
        </w:rPr>
        <w:t>Évaluation des Compétences Expérimentales</w:t>
      </w:r>
    </w:p>
    <w:p w14:paraId="57B656C1" w14:textId="77777777" w:rsidR="001B3A32" w:rsidRDefault="001B3A32">
      <w:pPr>
        <w:pStyle w:val="ECEbordure"/>
        <w:jc w:val="center"/>
      </w:pPr>
    </w:p>
    <w:p w14:paraId="092B1617" w14:textId="77777777" w:rsidR="001B3A32" w:rsidRDefault="003B6332">
      <w:pPr>
        <w:pStyle w:val="ECEbordure"/>
        <w:jc w:val="center"/>
      </w:pPr>
      <w:r>
        <w:t>Cette situation d’évaluation fait partie de la banque nationale.</w:t>
      </w:r>
    </w:p>
    <w:p w14:paraId="54FB1A04" w14:textId="77777777" w:rsidR="001B3A32" w:rsidRDefault="001B3A32">
      <w:pPr>
        <w:pStyle w:val="ECEbordure"/>
        <w:jc w:val="center"/>
      </w:pPr>
    </w:p>
    <w:p w14:paraId="4021E4FE" w14:textId="77777777" w:rsidR="001B3A32" w:rsidRDefault="001B3A32">
      <w:pPr>
        <w:pStyle w:val="ECEcorps"/>
      </w:pPr>
    </w:p>
    <w:p w14:paraId="6F5AC06F" w14:textId="77777777" w:rsidR="001B3A32" w:rsidRDefault="003B6332" w:rsidP="00911D36">
      <w:pPr>
        <w:pStyle w:val="ECEfiche"/>
        <w:ind w:left="142" w:right="139"/>
      </w:pPr>
      <w:r>
        <w:t>ÉNONCÉ DESTINÉ AU CANDIDAT</w:t>
      </w:r>
    </w:p>
    <w:p w14:paraId="07954C34" w14:textId="77777777" w:rsidR="001B3A32" w:rsidRDefault="001B3A32">
      <w:pPr>
        <w:pStyle w:val="ECEcorps"/>
      </w:pPr>
    </w:p>
    <w:tbl>
      <w:tblPr>
        <w:tblW w:w="9866" w:type="dxa"/>
        <w:jc w:val="center"/>
        <w:tblLayout w:type="fixed"/>
        <w:tblCellMar>
          <w:top w:w="57" w:type="dxa"/>
          <w:left w:w="57" w:type="dxa"/>
          <w:bottom w:w="57" w:type="dxa"/>
          <w:right w:w="57" w:type="dxa"/>
        </w:tblCellMar>
        <w:tblLook w:val="04A0" w:firstRow="1" w:lastRow="0" w:firstColumn="1" w:lastColumn="0" w:noHBand="0" w:noVBand="1"/>
      </w:tblPr>
      <w:tblGrid>
        <w:gridCol w:w="4934"/>
        <w:gridCol w:w="4932"/>
      </w:tblGrid>
      <w:tr w:rsidR="001B3A32" w14:paraId="745FAC27" w14:textId="77777777">
        <w:trPr>
          <w:jc w:val="center"/>
        </w:trPr>
        <w:tc>
          <w:tcPr>
            <w:tcW w:w="4933" w:type="dxa"/>
            <w:tcBorders>
              <w:top w:val="double" w:sz="4" w:space="0" w:color="000000"/>
              <w:left w:val="double" w:sz="4" w:space="0" w:color="000000"/>
              <w:bottom w:val="double" w:sz="4" w:space="0" w:color="000000"/>
              <w:right w:val="double" w:sz="4" w:space="0" w:color="000000"/>
            </w:tcBorders>
          </w:tcPr>
          <w:p w14:paraId="05990D55" w14:textId="518D7834" w:rsidR="001B3A32" w:rsidRDefault="003B6332">
            <w:pPr>
              <w:pStyle w:val="ECEcorps"/>
              <w:widowControl w:val="0"/>
            </w:pPr>
            <w:r>
              <w:t xml:space="preserve">NOM : </w:t>
            </w:r>
            <w:r w:rsidR="00DC58B9">
              <w:t xml:space="preserve"> </w:t>
            </w:r>
          </w:p>
          <w:p w14:paraId="5BA13052" w14:textId="77777777" w:rsidR="001B3A32" w:rsidRDefault="001B3A32">
            <w:pPr>
              <w:pStyle w:val="ECEcorps"/>
              <w:widowControl w:val="0"/>
            </w:pPr>
          </w:p>
        </w:tc>
        <w:tc>
          <w:tcPr>
            <w:tcW w:w="4932" w:type="dxa"/>
            <w:tcBorders>
              <w:top w:val="double" w:sz="4" w:space="0" w:color="000000"/>
              <w:left w:val="double" w:sz="4" w:space="0" w:color="000000"/>
              <w:bottom w:val="double" w:sz="4" w:space="0" w:color="000000"/>
              <w:right w:val="double" w:sz="4" w:space="0" w:color="000000"/>
            </w:tcBorders>
          </w:tcPr>
          <w:p w14:paraId="51C7ADB4" w14:textId="77777777" w:rsidR="001B3A32" w:rsidRDefault="003B6332">
            <w:pPr>
              <w:pStyle w:val="ECEcorps"/>
              <w:widowControl w:val="0"/>
            </w:pPr>
            <w:r>
              <w:t xml:space="preserve">Prénom : </w:t>
            </w:r>
          </w:p>
        </w:tc>
      </w:tr>
      <w:tr w:rsidR="001B3A32" w14:paraId="35413A63" w14:textId="77777777">
        <w:trPr>
          <w:jc w:val="center"/>
        </w:trPr>
        <w:tc>
          <w:tcPr>
            <w:tcW w:w="4933" w:type="dxa"/>
            <w:tcBorders>
              <w:top w:val="double" w:sz="4" w:space="0" w:color="000000"/>
              <w:left w:val="double" w:sz="4" w:space="0" w:color="000000"/>
              <w:bottom w:val="double" w:sz="4" w:space="0" w:color="000000"/>
              <w:right w:val="double" w:sz="4" w:space="0" w:color="000000"/>
            </w:tcBorders>
          </w:tcPr>
          <w:p w14:paraId="155C453D" w14:textId="77777777" w:rsidR="001B3A32" w:rsidRDefault="003B6332">
            <w:pPr>
              <w:pStyle w:val="ECEcorps"/>
              <w:widowControl w:val="0"/>
            </w:pPr>
            <w:r>
              <w:t xml:space="preserve">Centre d’examen : </w:t>
            </w:r>
          </w:p>
          <w:p w14:paraId="0FD8EC63" w14:textId="77777777" w:rsidR="001B3A32" w:rsidRDefault="001B3A32">
            <w:pPr>
              <w:pStyle w:val="ECEcorps"/>
              <w:widowControl w:val="0"/>
            </w:pPr>
          </w:p>
        </w:tc>
        <w:tc>
          <w:tcPr>
            <w:tcW w:w="4932" w:type="dxa"/>
            <w:tcBorders>
              <w:top w:val="double" w:sz="4" w:space="0" w:color="000000"/>
              <w:left w:val="double" w:sz="4" w:space="0" w:color="000000"/>
              <w:bottom w:val="double" w:sz="4" w:space="0" w:color="000000"/>
              <w:right w:val="double" w:sz="4" w:space="0" w:color="000000"/>
            </w:tcBorders>
          </w:tcPr>
          <w:p w14:paraId="0FF1406C" w14:textId="77777777" w:rsidR="001B3A32" w:rsidRDefault="003B6332">
            <w:pPr>
              <w:pStyle w:val="ECEcorps"/>
              <w:widowControl w:val="0"/>
            </w:pPr>
            <w:r>
              <w:t xml:space="preserve">n° d’inscription : </w:t>
            </w:r>
          </w:p>
        </w:tc>
      </w:tr>
    </w:tbl>
    <w:p w14:paraId="2269C8ED" w14:textId="77777777" w:rsidR="001B3A32" w:rsidRDefault="001B3A32">
      <w:pPr>
        <w:pStyle w:val="ECEcorps"/>
      </w:pPr>
    </w:p>
    <w:p w14:paraId="4F4DE139" w14:textId="77777777" w:rsidR="001B3A32" w:rsidRDefault="003B6332">
      <w:pPr>
        <w:pStyle w:val="ECEbordure"/>
      </w:pPr>
      <w:r>
        <w:t xml:space="preserve">Ce sujet comporte </w:t>
      </w:r>
      <w:r>
        <w:rPr>
          <w:b/>
          <w:bCs/>
        </w:rPr>
        <w:t>quatre</w:t>
      </w:r>
      <w:r>
        <w:t xml:space="preserve"> </w:t>
      </w:r>
      <w:r>
        <w:fldChar w:fldCharType="begin"/>
      </w:r>
      <w:r>
        <w:fldChar w:fldCharType="end"/>
      </w:r>
      <w:r>
        <w:t>feuilles individuelles sur lesquelles le candidat doit consigner ses réponses.</w:t>
      </w:r>
    </w:p>
    <w:p w14:paraId="79C6193A" w14:textId="77777777" w:rsidR="001B3A32" w:rsidRDefault="003B6332">
      <w:pPr>
        <w:pStyle w:val="ECEbordure"/>
      </w:pPr>
      <w:r>
        <w:t>Le candidat doit restituer ce document avant de sortir de la salle d'examen.</w:t>
      </w:r>
    </w:p>
    <w:p w14:paraId="3FC2B7E3" w14:textId="77777777" w:rsidR="001B3A32" w:rsidRDefault="001B3A32">
      <w:pPr>
        <w:pStyle w:val="ECEbordure"/>
      </w:pPr>
    </w:p>
    <w:p w14:paraId="2C155602" w14:textId="77777777" w:rsidR="001B3A32" w:rsidRDefault="003B6332">
      <w:pPr>
        <w:pStyle w:val="ECEbordure"/>
      </w:pPr>
      <w:r>
        <w:t>Le candidat doit agir en autonomie et faire preuve d’initiative tout au long de l’épreuve.</w:t>
      </w:r>
    </w:p>
    <w:p w14:paraId="49915CB3" w14:textId="77777777" w:rsidR="001B3A32" w:rsidRDefault="003B6332">
      <w:pPr>
        <w:pStyle w:val="ECEbordure"/>
      </w:pPr>
      <w:r>
        <w:t>En cas de difficulté, le candidat peut solliciter l’examinateur afin de lui permettre de continuer la tâche.</w:t>
      </w:r>
    </w:p>
    <w:p w14:paraId="689E0DED" w14:textId="77777777" w:rsidR="001B3A32" w:rsidRDefault="003B6332">
      <w:pPr>
        <w:pStyle w:val="ECEbordure"/>
      </w:pPr>
      <w:r>
        <w:t>L’examinateur peut intervenir à tout moment, s’il le juge utile.</w:t>
      </w:r>
    </w:p>
    <w:p w14:paraId="12892134" w14:textId="77777777" w:rsidR="001B3A32" w:rsidRDefault="003B6332">
      <w:pPr>
        <w:pStyle w:val="ECEbordure"/>
      </w:pPr>
      <w:r>
        <w:t xml:space="preserve">L’usage de calculatrice avec mode examen actif est autorisé. L’usage de calculatrice sans mémoire « type collège » est autorisé. </w:t>
      </w:r>
    </w:p>
    <w:p w14:paraId="31CB9525" w14:textId="77777777" w:rsidR="001B3A32" w:rsidRDefault="001B3A32">
      <w:pPr>
        <w:pStyle w:val="ECEcorps"/>
      </w:pPr>
    </w:p>
    <w:p w14:paraId="6A256A54" w14:textId="77777777" w:rsidR="001B3A32" w:rsidRDefault="001B3A32">
      <w:pPr>
        <w:pStyle w:val="ECEtitre"/>
      </w:pPr>
    </w:p>
    <w:p w14:paraId="386D1A11" w14:textId="77777777" w:rsidR="001B3A32" w:rsidRDefault="003B6332">
      <w:pPr>
        <w:pStyle w:val="ECEtitre"/>
      </w:pPr>
      <w:r>
        <w:t>CONTEXTE</w:t>
      </w:r>
      <w:r w:rsidR="00DF3FD0">
        <w:t xml:space="preserve"> DE LA SITUATION D’ÉVALUATION</w:t>
      </w:r>
    </w:p>
    <w:p w14:paraId="4C8DDA30" w14:textId="77777777" w:rsidR="001B3A32" w:rsidRDefault="001B3A32">
      <w:pPr>
        <w:pStyle w:val="ECEcorps"/>
      </w:pPr>
    </w:p>
    <w:p w14:paraId="78F83F5F" w14:textId="77777777" w:rsidR="001B3A32" w:rsidRDefault="003B6332">
      <w:pPr>
        <w:pStyle w:val="ECEcorps"/>
        <w:rPr>
          <w:rFonts w:eastAsia="ArialMT"/>
        </w:rPr>
      </w:pPr>
      <w:r>
        <w:rPr>
          <w:rFonts w:eastAsia="ArialMT"/>
        </w:rPr>
        <w:t xml:space="preserve">La casse ferrique est une altération accidentelle de la limpidité du vin qui agit également sur le goût. Elle a pour origine une teneur en fer excessive. Les ions </w:t>
      </w:r>
      <w:r w:rsidR="00911D36">
        <w:rPr>
          <w:rFonts w:eastAsia="ArialMT"/>
        </w:rPr>
        <w:t xml:space="preserve">du </w:t>
      </w:r>
      <w:r>
        <w:rPr>
          <w:rFonts w:eastAsia="ArialMT"/>
        </w:rPr>
        <w:t>fer présents dans les vins sont d’origine biologique (apporté par la vigne qui le prélève dans le sol), mais surtout d’origine technologique (cuves en béton non revêtues, matériel en métal oxydé, terre, ...)</w:t>
      </w:r>
    </w:p>
    <w:p w14:paraId="66A41AD7" w14:textId="77777777" w:rsidR="001B3A32" w:rsidRDefault="003B6332">
      <w:pPr>
        <w:pStyle w:val="ECEcorps"/>
        <w:rPr>
          <w:rFonts w:eastAsia="ArialMT"/>
        </w:rPr>
      </w:pPr>
      <w:r>
        <w:rPr>
          <w:rFonts w:eastAsia="ArialMT"/>
        </w:rPr>
        <w:t>Si la quantité de fer présente est trop importante, le vin devient non commercialisable. Chaque vigneron doit ainsi maîtriser la quantité de fer contenue dans son vin au cours de son élaboration.</w:t>
      </w:r>
    </w:p>
    <w:p w14:paraId="40A6A9B5" w14:textId="77777777" w:rsidR="001B3A32" w:rsidRDefault="003B6332">
      <w:pPr>
        <w:spacing w:line="240" w:lineRule="auto"/>
        <w:rPr>
          <w:rFonts w:eastAsia="ArialMT"/>
          <w:color w:val="000000" w:themeColor="text1"/>
        </w:rPr>
      </w:pPr>
      <w:r>
        <w:rPr>
          <w:rFonts w:eastAsia="ArialMT"/>
          <w:noProof/>
          <w:color w:val="000000" w:themeColor="text1"/>
        </w:rPr>
        <w:drawing>
          <wp:anchor distT="0" distB="0" distL="114300" distR="114300" simplePos="0" relativeHeight="2" behindDoc="0" locked="0" layoutInCell="0" allowOverlap="1" wp14:anchorId="1FF23A31" wp14:editId="2AAF35A1">
            <wp:simplePos x="0" y="0"/>
            <wp:positionH relativeFrom="column">
              <wp:posOffset>1295400</wp:posOffset>
            </wp:positionH>
            <wp:positionV relativeFrom="paragraph">
              <wp:posOffset>142240</wp:posOffset>
            </wp:positionV>
            <wp:extent cx="1302385" cy="1730375"/>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8"/>
                    <a:stretch>
                      <a:fillRect/>
                    </a:stretch>
                  </pic:blipFill>
                  <pic:spPr bwMode="auto">
                    <a:xfrm>
                      <a:off x="0" y="0"/>
                      <a:ext cx="1302385" cy="1730375"/>
                    </a:xfrm>
                    <a:prstGeom prst="rect">
                      <a:avLst/>
                    </a:prstGeom>
                  </pic:spPr>
                </pic:pic>
              </a:graphicData>
            </a:graphic>
          </wp:anchor>
        </w:drawing>
      </w:r>
      <w:r>
        <w:rPr>
          <w:rFonts w:eastAsia="ArialMT"/>
          <w:noProof/>
          <w:color w:val="000000" w:themeColor="text1"/>
        </w:rPr>
        <w:drawing>
          <wp:anchor distT="0" distB="0" distL="114300" distR="114300" simplePos="0" relativeHeight="3" behindDoc="0" locked="0" layoutInCell="0" allowOverlap="1" wp14:anchorId="1EA93470" wp14:editId="5C4D6316">
            <wp:simplePos x="0" y="0"/>
            <wp:positionH relativeFrom="column">
              <wp:posOffset>3845560</wp:posOffset>
            </wp:positionH>
            <wp:positionV relativeFrom="paragraph">
              <wp:posOffset>137160</wp:posOffset>
            </wp:positionV>
            <wp:extent cx="1282700" cy="1640205"/>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9"/>
                    <a:stretch>
                      <a:fillRect/>
                    </a:stretch>
                  </pic:blipFill>
                  <pic:spPr bwMode="auto">
                    <a:xfrm>
                      <a:off x="0" y="0"/>
                      <a:ext cx="1282700" cy="1640205"/>
                    </a:xfrm>
                    <a:prstGeom prst="rect">
                      <a:avLst/>
                    </a:prstGeom>
                  </pic:spPr>
                </pic:pic>
              </a:graphicData>
            </a:graphic>
          </wp:anchor>
        </w:drawing>
      </w:r>
    </w:p>
    <w:p w14:paraId="54C96B68" w14:textId="77777777" w:rsidR="001B3A32" w:rsidRDefault="003B6332">
      <w:pPr>
        <w:spacing w:line="240" w:lineRule="auto"/>
      </w:pPr>
      <w:r>
        <w:t xml:space="preserve"> </w:t>
      </w:r>
    </w:p>
    <w:p w14:paraId="4E2A48C6" w14:textId="77777777" w:rsidR="001B3A32" w:rsidRDefault="001B3A32">
      <w:pPr>
        <w:spacing w:line="240" w:lineRule="auto"/>
      </w:pPr>
    </w:p>
    <w:p w14:paraId="4736C585" w14:textId="77777777" w:rsidR="001B3A32" w:rsidRDefault="001B3A32">
      <w:pPr>
        <w:spacing w:line="240" w:lineRule="auto"/>
      </w:pPr>
    </w:p>
    <w:p w14:paraId="1B44673F" w14:textId="77777777" w:rsidR="001B3A32" w:rsidRDefault="001B3A32">
      <w:pPr>
        <w:spacing w:line="240" w:lineRule="auto"/>
      </w:pPr>
    </w:p>
    <w:p w14:paraId="2A398CE4" w14:textId="77777777" w:rsidR="001B3A32" w:rsidRDefault="001B3A32">
      <w:pPr>
        <w:spacing w:line="240" w:lineRule="auto"/>
      </w:pPr>
    </w:p>
    <w:p w14:paraId="7CDED8B9" w14:textId="77777777" w:rsidR="001B3A32" w:rsidRDefault="001B3A32">
      <w:pPr>
        <w:spacing w:line="240" w:lineRule="auto"/>
      </w:pPr>
    </w:p>
    <w:p w14:paraId="0C2D1F81" w14:textId="77777777" w:rsidR="001B3A32" w:rsidRDefault="001B3A32">
      <w:pPr>
        <w:spacing w:line="240" w:lineRule="auto"/>
      </w:pPr>
    </w:p>
    <w:p w14:paraId="3A1E59BA" w14:textId="77777777" w:rsidR="001B3A32" w:rsidRDefault="001B3A32">
      <w:pPr>
        <w:spacing w:line="240" w:lineRule="auto"/>
        <w:rPr>
          <w:rFonts w:eastAsia="ArialMT"/>
          <w:color w:val="000000" w:themeColor="text1"/>
        </w:rPr>
      </w:pPr>
    </w:p>
    <w:p w14:paraId="39650173" w14:textId="77777777" w:rsidR="001B3A32" w:rsidRDefault="001B3A32">
      <w:pPr>
        <w:spacing w:line="240" w:lineRule="auto"/>
        <w:rPr>
          <w:rFonts w:eastAsia="ArialMT"/>
          <w:color w:val="000000" w:themeColor="text1"/>
        </w:rPr>
      </w:pPr>
    </w:p>
    <w:p w14:paraId="72F55A30" w14:textId="77777777" w:rsidR="001B3A32" w:rsidRDefault="001B3A32">
      <w:pPr>
        <w:spacing w:line="240" w:lineRule="auto"/>
        <w:rPr>
          <w:rFonts w:eastAsia="ArialMT"/>
          <w:color w:val="000000" w:themeColor="text1"/>
        </w:rPr>
      </w:pPr>
    </w:p>
    <w:p w14:paraId="4991D33B" w14:textId="77777777" w:rsidR="001B3A32" w:rsidRDefault="001B3A32">
      <w:pPr>
        <w:spacing w:line="240" w:lineRule="auto"/>
        <w:rPr>
          <w:rFonts w:eastAsia="ArialMT"/>
          <w:color w:val="000000" w:themeColor="text1"/>
        </w:rPr>
      </w:pPr>
    </w:p>
    <w:p w14:paraId="7A615892" w14:textId="77777777" w:rsidR="001B3A32" w:rsidRDefault="003B6332">
      <w:pPr>
        <w:spacing w:line="240" w:lineRule="auto"/>
        <w:rPr>
          <w:rFonts w:eastAsia="ArialMT"/>
          <w:color w:val="000000" w:themeColor="text1"/>
        </w:rPr>
      </w:pPr>
      <w:r>
        <w:rPr>
          <w:rFonts w:eastAsia="ArialMT"/>
          <w:noProof/>
          <w:color w:val="000000" w:themeColor="text1"/>
        </w:rPr>
        <mc:AlternateContent>
          <mc:Choice Requires="wps">
            <w:drawing>
              <wp:anchor distT="0" distB="0" distL="114300" distR="114300" simplePos="0" relativeHeight="5" behindDoc="0" locked="0" layoutInCell="0" allowOverlap="1" wp14:anchorId="1FDF17E3" wp14:editId="4CA43196">
                <wp:simplePos x="0" y="0"/>
                <wp:positionH relativeFrom="column">
                  <wp:posOffset>3845560</wp:posOffset>
                </wp:positionH>
                <wp:positionV relativeFrom="paragraph">
                  <wp:posOffset>64770</wp:posOffset>
                </wp:positionV>
                <wp:extent cx="1283335" cy="291465"/>
                <wp:effectExtent l="0" t="0" r="0" b="0"/>
                <wp:wrapSquare wrapText="bothSides"/>
                <wp:docPr id="3" name="Zone de texte 5"/>
                <wp:cNvGraphicFramePr/>
                <a:graphic xmlns:a="http://schemas.openxmlformats.org/drawingml/2006/main">
                  <a:graphicData uri="http://schemas.microsoft.com/office/word/2010/wordprocessingShape">
                    <wps:wsp>
                      <wps:cNvSpPr/>
                      <wps:spPr>
                        <a:xfrm>
                          <a:off x="0" y="0"/>
                          <a:ext cx="1282680" cy="2908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3498428" w14:textId="77777777" w:rsidR="001B3A32" w:rsidRDefault="003B6332">
                            <w:pPr>
                              <w:pStyle w:val="Lgende"/>
                              <w:spacing w:after="0"/>
                              <w:jc w:val="center"/>
                              <w:rPr>
                                <w:i w:val="0"/>
                                <w:iCs w:val="0"/>
                                <w:color w:val="auto"/>
                                <w:sz w:val="20"/>
                                <w:szCs w:val="20"/>
                              </w:rPr>
                            </w:pPr>
                            <w:r>
                              <w:rPr>
                                <w:i w:val="0"/>
                                <w:iCs w:val="0"/>
                                <w:color w:val="auto"/>
                                <w:sz w:val="20"/>
                                <w:szCs w:val="20"/>
                              </w:rPr>
                              <w:t>Cuve de vinification en inox</w:t>
                            </w:r>
                          </w:p>
                        </w:txbxContent>
                      </wps:txbx>
                      <wps:bodyPr lIns="0" tIns="0" rIns="0" bIns="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DF17E3" id="Zone de texte 5" o:spid="_x0000_s1026" style="position:absolute;left:0;text-align:left;margin-left:302.8pt;margin-top:5.1pt;width:101.05pt;height:22.9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" o:allowincell="f" stroked="f" strokeweight="0">
                <v:textbox style="mso-fit-shape-to-text:t" inset="0,0,0,0">
                  <w:txbxContent>
                    <w:p w14:paraId="33498428" w14:textId="77777777" w:rsidR="001B3A32" w:rsidRDefault="003B6332">
                      <w:pPr>
                        <w:pStyle w:val="Lgende"/>
                        <w:spacing w:after="0"/>
                        <w:jc w:val="center"/>
                        <w:rPr>
                          <w:i w:val="0"/>
                          <w:iCs w:val="0"/>
                          <w:color w:val="auto"/>
                          <w:sz w:val="20"/>
                          <w:szCs w:val="20"/>
                        </w:rPr>
                      </w:pPr>
                      <w:r>
                        <w:rPr>
                          <w:i w:val="0"/>
                          <w:iCs w:val="0"/>
                          <w:color w:val="auto"/>
                          <w:sz w:val="20"/>
                          <w:szCs w:val="20"/>
                        </w:rPr>
                        <w:t>Cuve de vinification en inox</w:t>
                      </w:r>
                    </w:p>
                  </w:txbxContent>
                </v:textbox>
                <w10:wrap type="square"/>
              </v:rect>
            </w:pict>
          </mc:Fallback>
        </mc:AlternateContent>
      </w:r>
    </w:p>
    <w:p w14:paraId="038FC697" w14:textId="77777777" w:rsidR="001B3A32" w:rsidRDefault="003B6332">
      <w:pPr>
        <w:spacing w:line="240" w:lineRule="auto"/>
        <w:rPr>
          <w:rFonts w:eastAsia="ArialMT"/>
          <w:color w:val="000000" w:themeColor="text1"/>
        </w:rPr>
      </w:pPr>
      <w:r>
        <w:rPr>
          <w:rFonts w:eastAsia="ArialMT"/>
          <w:noProof/>
          <w:color w:val="000000" w:themeColor="text1"/>
        </w:rPr>
        <mc:AlternateContent>
          <mc:Choice Requires="wps">
            <w:drawing>
              <wp:anchor distT="0" distB="0" distL="114300" distR="114300" simplePos="0" relativeHeight="4" behindDoc="0" locked="0" layoutInCell="0" allowOverlap="1" wp14:anchorId="520F2454" wp14:editId="29F18661">
                <wp:simplePos x="0" y="0"/>
                <wp:positionH relativeFrom="column">
                  <wp:posOffset>1198245</wp:posOffset>
                </wp:positionH>
                <wp:positionV relativeFrom="paragraph">
                  <wp:posOffset>4445</wp:posOffset>
                </wp:positionV>
                <wp:extent cx="1398905" cy="291465"/>
                <wp:effectExtent l="0" t="0" r="0" b="0"/>
                <wp:wrapSquare wrapText="bothSides"/>
                <wp:docPr id="5" name="Zone de texte 4"/>
                <wp:cNvGraphicFramePr/>
                <a:graphic xmlns:a="http://schemas.openxmlformats.org/drawingml/2006/main">
                  <a:graphicData uri="http://schemas.microsoft.com/office/word/2010/wordprocessingShape">
                    <wps:wsp>
                      <wps:cNvSpPr/>
                      <wps:spPr>
                        <a:xfrm>
                          <a:off x="0" y="0"/>
                          <a:ext cx="1398240" cy="2908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4DF824B" w14:textId="77777777" w:rsidR="001B3A32" w:rsidRDefault="003B6332">
                            <w:pPr>
                              <w:pStyle w:val="Lgende"/>
                              <w:spacing w:after="0"/>
                              <w:jc w:val="center"/>
                              <w:rPr>
                                <w:i w:val="0"/>
                                <w:iCs w:val="0"/>
                                <w:color w:val="auto"/>
                                <w:sz w:val="20"/>
                                <w:szCs w:val="20"/>
                              </w:rPr>
                            </w:pPr>
                            <w:r>
                              <w:rPr>
                                <w:i w:val="0"/>
                                <w:iCs w:val="0"/>
                                <w:color w:val="auto"/>
                                <w:sz w:val="20"/>
                                <w:szCs w:val="20"/>
                              </w:rPr>
                              <w:t>Cuve en béton tapissée de céramique</w:t>
                            </w:r>
                          </w:p>
                        </w:txbxContent>
                      </wps:txbx>
                      <wps:bodyPr lIns="0" tIns="0" rIns="0" bIns="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0F2454" id="Zone de texte 4" o:spid="_x0000_s1027" style="position:absolute;left:0;text-align:left;margin-left:94.35pt;margin-top:.35pt;width:110.15pt;height:22.9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" o:allowincell="f" stroked="f" strokeweight="0">
                <v:textbox style="mso-fit-shape-to-text:t" inset="0,0,0,0">
                  <w:txbxContent>
                    <w:p w14:paraId="44DF824B" w14:textId="77777777" w:rsidR="001B3A32" w:rsidRDefault="003B6332">
                      <w:pPr>
                        <w:pStyle w:val="Lgende"/>
                        <w:spacing w:after="0"/>
                        <w:jc w:val="center"/>
                        <w:rPr>
                          <w:i w:val="0"/>
                          <w:iCs w:val="0"/>
                          <w:color w:val="auto"/>
                          <w:sz w:val="20"/>
                          <w:szCs w:val="20"/>
                        </w:rPr>
                      </w:pPr>
                      <w:r>
                        <w:rPr>
                          <w:i w:val="0"/>
                          <w:iCs w:val="0"/>
                          <w:color w:val="auto"/>
                          <w:sz w:val="20"/>
                          <w:szCs w:val="20"/>
                        </w:rPr>
                        <w:t>Cuve en béton tapissée de céramique</w:t>
                      </w:r>
                    </w:p>
                  </w:txbxContent>
                </v:textbox>
                <w10:wrap type="square"/>
              </v:rect>
            </w:pict>
          </mc:Fallback>
        </mc:AlternateContent>
      </w:r>
    </w:p>
    <w:p w14:paraId="3DC2318C" w14:textId="77777777" w:rsidR="001B3A32" w:rsidRDefault="001B3A32">
      <w:pPr>
        <w:spacing w:line="240" w:lineRule="auto"/>
        <w:rPr>
          <w:rFonts w:eastAsia="ArialMT"/>
          <w:b/>
          <w:i/>
          <w:color w:val="000000" w:themeColor="text1"/>
          <w:sz w:val="24"/>
          <w:szCs w:val="24"/>
        </w:rPr>
      </w:pPr>
    </w:p>
    <w:p w14:paraId="5DF3A585" w14:textId="77777777" w:rsidR="001B3A32" w:rsidRDefault="001B3A32">
      <w:pPr>
        <w:spacing w:line="240" w:lineRule="auto"/>
        <w:rPr>
          <w:rFonts w:eastAsia="ArialMT"/>
          <w:b/>
          <w:i/>
          <w:color w:val="000000" w:themeColor="text1"/>
          <w:sz w:val="24"/>
          <w:szCs w:val="24"/>
        </w:rPr>
      </w:pPr>
    </w:p>
    <w:p w14:paraId="6721BB1A" w14:textId="77777777" w:rsidR="001B3A32" w:rsidRDefault="003B6332">
      <w:pPr>
        <w:spacing w:line="240" w:lineRule="auto"/>
        <w:rPr>
          <w:b/>
          <w:i/>
          <w:color w:val="000000" w:themeColor="text1"/>
          <w:sz w:val="24"/>
          <w:szCs w:val="24"/>
        </w:rPr>
      </w:pPr>
      <w:r>
        <w:rPr>
          <w:rFonts w:eastAsia="ArialMT"/>
          <w:b/>
          <w:i/>
          <w:color w:val="000000" w:themeColor="text1"/>
          <w:sz w:val="24"/>
          <w:szCs w:val="24"/>
        </w:rPr>
        <w:t>Le but de cette épreuve est de déterminer la teneur en fer dans un vin blanc pour savoir s’il est commercialisable.</w:t>
      </w:r>
    </w:p>
    <w:p w14:paraId="1413C1D8" w14:textId="77777777" w:rsidR="001B3A32" w:rsidRDefault="001B3A32">
      <w:pPr>
        <w:pStyle w:val="ECEcorps"/>
      </w:pPr>
    </w:p>
    <w:p w14:paraId="55003670" w14:textId="77777777" w:rsidR="001B3A32" w:rsidRDefault="001B3A32">
      <w:pPr>
        <w:pStyle w:val="ECEcorps"/>
      </w:pPr>
    </w:p>
    <w:p w14:paraId="04353EA8" w14:textId="77777777" w:rsidR="001B3A32" w:rsidRDefault="001B3A32">
      <w:pPr>
        <w:spacing w:line="240" w:lineRule="auto"/>
        <w:jc w:val="left"/>
      </w:pPr>
    </w:p>
    <w:p w14:paraId="09B16FF4" w14:textId="77777777" w:rsidR="001B3A32" w:rsidRDefault="003B6332">
      <w:pPr>
        <w:pStyle w:val="ECEcorps"/>
        <w:rPr>
          <w:b/>
          <w:sz w:val="24"/>
          <w:szCs w:val="24"/>
          <w:u w:val="single"/>
        </w:rPr>
      </w:pPr>
      <w:r>
        <w:rPr>
          <w:b/>
          <w:sz w:val="24"/>
          <w:szCs w:val="24"/>
          <w:u w:val="single"/>
        </w:rPr>
        <w:lastRenderedPageBreak/>
        <w:t>INFORMATIONS MISES À DISPOSITION DU CANDIDAT</w:t>
      </w:r>
    </w:p>
    <w:p w14:paraId="77208A9A" w14:textId="77777777" w:rsidR="001B3A32" w:rsidRDefault="001B3A32">
      <w:pPr>
        <w:pStyle w:val="ECEcorps"/>
        <w:rPr>
          <w:b/>
          <w:sz w:val="24"/>
          <w:szCs w:val="24"/>
          <w:u w:val="single"/>
        </w:rPr>
      </w:pPr>
    </w:p>
    <w:p w14:paraId="3672212B" w14:textId="77777777" w:rsidR="00911D36" w:rsidRDefault="00911D36">
      <w:pPr>
        <w:pStyle w:val="ECEcorps"/>
        <w:rPr>
          <w:b/>
          <w:sz w:val="24"/>
          <w:szCs w:val="24"/>
          <w:u w:val="single"/>
        </w:rPr>
      </w:pPr>
    </w:p>
    <w:p w14:paraId="536F45C3" w14:textId="68262D57" w:rsidR="001B3A32" w:rsidRPr="006F7D6C" w:rsidRDefault="003B6332">
      <w:pPr>
        <w:pStyle w:val="ECEtitre"/>
        <w:rPr>
          <w:sz w:val="24"/>
          <w:szCs w:val="24"/>
          <w:u w:val="none"/>
        </w:rPr>
      </w:pPr>
      <w:r>
        <w:rPr>
          <w:sz w:val="24"/>
          <w:szCs w:val="24"/>
        </w:rPr>
        <w:t>Teneur en fer dans le vin</w:t>
      </w:r>
    </w:p>
    <w:p w14:paraId="6ED42D31" w14:textId="77777777" w:rsidR="001B3A32" w:rsidRDefault="001B3A32">
      <w:pPr>
        <w:pStyle w:val="ECEcorps"/>
      </w:pPr>
    </w:p>
    <w:p w14:paraId="5CD6AB75" w14:textId="77777777" w:rsidR="001B3A32" w:rsidRDefault="003B6332">
      <w:pPr>
        <w:pStyle w:val="ECEcorps"/>
        <w:rPr>
          <w:rFonts w:eastAsia="ArialMT"/>
        </w:rPr>
      </w:pPr>
      <w:r>
        <w:rPr>
          <w:rFonts w:eastAsia="ArialMT"/>
        </w:rPr>
        <w:t>Au cours de la vinification, le vin est régulièrement en contact avec d</w:t>
      </w:r>
      <w:r w:rsidR="00911D36">
        <w:rPr>
          <w:rFonts w:eastAsia="ArialMT"/>
        </w:rPr>
        <w:t>u</w:t>
      </w:r>
      <w:r>
        <w:rPr>
          <w:rFonts w:eastAsia="ArialMT"/>
        </w:rPr>
        <w:t xml:space="preserve"> matériel contenant du fer.</w:t>
      </w:r>
      <w:r w:rsidR="00911D36">
        <w:rPr>
          <w:rFonts w:eastAsia="ArialMT"/>
        </w:rPr>
        <w:t xml:space="preserve"> Le vin se charge alors en </w:t>
      </w:r>
      <w:r>
        <w:rPr>
          <w:rFonts w:eastAsia="ArialMT"/>
        </w:rPr>
        <w:t xml:space="preserve">fer. </w:t>
      </w:r>
    </w:p>
    <w:p w14:paraId="274D3B5F" w14:textId="77777777" w:rsidR="00400733" w:rsidRDefault="003B6332">
      <w:pPr>
        <w:pStyle w:val="ECEcorps"/>
        <w:rPr>
          <w:rFonts w:eastAsia="ArialMT"/>
        </w:rPr>
      </w:pPr>
      <w:r>
        <w:rPr>
          <w:rFonts w:eastAsia="ArialMT"/>
        </w:rPr>
        <w:t>Dans les vins maintenus à l’abri de l’air, le fer est à l’état</w:t>
      </w:r>
      <w:r w:rsidR="00911D36">
        <w:rPr>
          <w:rFonts w:eastAsia="ArialMT"/>
        </w:rPr>
        <w:t xml:space="preserve"> d’ions</w:t>
      </w:r>
      <w:r>
        <w:rPr>
          <w:rFonts w:eastAsia="ArialMT"/>
        </w:rPr>
        <w:t xml:space="preserve"> ferreux (Fe</w:t>
      </w:r>
      <w:r>
        <w:rPr>
          <w:rFonts w:eastAsia="ArialMT"/>
          <w:vertAlign w:val="superscript"/>
        </w:rPr>
        <w:t>2+</w:t>
      </w:r>
      <w:r>
        <w:rPr>
          <w:rFonts w:eastAsia="ArialMT"/>
        </w:rPr>
        <w:t>(</w:t>
      </w:r>
      <w:proofErr w:type="spellStart"/>
      <w:r>
        <w:rPr>
          <w:rFonts w:eastAsia="ArialMT"/>
        </w:rPr>
        <w:t>aq</w:t>
      </w:r>
      <w:proofErr w:type="spellEnd"/>
      <w:r>
        <w:rPr>
          <w:rFonts w:eastAsia="ArialMT"/>
        </w:rPr>
        <w:t>)), mais si le vin contient du dioxygène dissous à la suite d’une aération, le fer passe à l’état</w:t>
      </w:r>
      <w:r w:rsidR="00911D36">
        <w:rPr>
          <w:rFonts w:eastAsia="ArialMT"/>
        </w:rPr>
        <w:t xml:space="preserve"> d’ions</w:t>
      </w:r>
      <w:r>
        <w:rPr>
          <w:rFonts w:eastAsia="ArialMT"/>
        </w:rPr>
        <w:t xml:space="preserve"> ferrique</w:t>
      </w:r>
      <w:r w:rsidR="00911D36">
        <w:rPr>
          <w:rFonts w:eastAsia="ArialMT"/>
        </w:rPr>
        <w:t>s</w:t>
      </w:r>
      <w:r>
        <w:rPr>
          <w:rFonts w:eastAsia="ArialMT"/>
        </w:rPr>
        <w:t xml:space="preserve"> (Fe</w:t>
      </w:r>
      <w:r>
        <w:rPr>
          <w:rFonts w:eastAsia="ArialMT"/>
          <w:vertAlign w:val="superscript"/>
        </w:rPr>
        <w:t>3+</w:t>
      </w:r>
      <w:r>
        <w:rPr>
          <w:rFonts w:eastAsia="ArialMT"/>
        </w:rPr>
        <w:t>(</w:t>
      </w:r>
      <w:proofErr w:type="spellStart"/>
      <w:r>
        <w:rPr>
          <w:rFonts w:eastAsia="ArialMT"/>
        </w:rPr>
        <w:t>aq</w:t>
      </w:r>
      <w:proofErr w:type="spellEnd"/>
      <w:r>
        <w:rPr>
          <w:rFonts w:eastAsia="ArialMT"/>
        </w:rPr>
        <w:t xml:space="preserve">)). Sous cette forme, le fer risque de précipiter avec les ions phosphate contenus dans le vin et </w:t>
      </w:r>
      <w:r w:rsidR="006F7D6C">
        <w:rPr>
          <w:rFonts w:eastAsia="ArialMT"/>
        </w:rPr>
        <w:t xml:space="preserve">de </w:t>
      </w:r>
      <w:r>
        <w:rPr>
          <w:rFonts w:eastAsia="ArialMT"/>
        </w:rPr>
        <w:t xml:space="preserve">lui donner ainsi un aspect trouble préjudiciable à sa commercialisation. </w:t>
      </w:r>
    </w:p>
    <w:p w14:paraId="327C8EAE" w14:textId="601FF934" w:rsidR="001B3A32" w:rsidRDefault="003B6332">
      <w:pPr>
        <w:pStyle w:val="ECEcorps"/>
        <w:rPr>
          <w:rFonts w:eastAsia="ArialMT"/>
        </w:rPr>
      </w:pPr>
      <w:r>
        <w:rPr>
          <w:rFonts w:eastAsia="ArialMT"/>
        </w:rPr>
        <w:t xml:space="preserve">L’organisation </w:t>
      </w:r>
      <w:r w:rsidR="00FA6D30">
        <w:rPr>
          <w:rFonts w:eastAsia="ArialMT"/>
        </w:rPr>
        <w:t xml:space="preserve">internationale </w:t>
      </w:r>
      <w:r>
        <w:rPr>
          <w:rFonts w:eastAsia="ArialMT"/>
        </w:rPr>
        <w:t xml:space="preserve">de la vigne et du vin (OIV) recommande une teneur en fer dans </w:t>
      </w:r>
      <w:proofErr w:type="gramStart"/>
      <w:r>
        <w:rPr>
          <w:rFonts w:eastAsia="ArialMT"/>
        </w:rPr>
        <w:t>le</w:t>
      </w:r>
      <w:r w:rsidR="006F7D6C">
        <w:rPr>
          <w:rFonts w:eastAsia="ArialMT"/>
        </w:rPr>
        <w:t xml:space="preserve"> </w:t>
      </w:r>
      <w:r>
        <w:rPr>
          <w:rFonts w:eastAsia="ArialMT"/>
        </w:rPr>
        <w:t>vin inférieure</w:t>
      </w:r>
      <w:proofErr w:type="gramEnd"/>
      <w:r>
        <w:rPr>
          <w:rFonts w:eastAsia="ArialMT"/>
        </w:rPr>
        <w:t xml:space="preserve"> à </w:t>
      </w:r>
      <w:bookmarkStart w:id="0" w:name="_Hlk115785713"/>
      <w:r>
        <w:rPr>
          <w:rFonts w:eastAsia="ArialMT"/>
        </w:rPr>
        <w:t>15</w:t>
      </w:r>
      <w:r w:rsidR="00FA6D30">
        <w:rPr>
          <w:rFonts w:eastAsia="ArialMT"/>
        </w:rPr>
        <w:t> </w:t>
      </w:r>
      <w:proofErr w:type="spellStart"/>
      <w:r>
        <w:rPr>
          <w:rFonts w:eastAsia="ArialMT"/>
        </w:rPr>
        <w:t>mg</w:t>
      </w:r>
      <w:r>
        <w:t>·</w:t>
      </w:r>
      <w:r>
        <w:rPr>
          <w:rFonts w:eastAsia="ArialMT"/>
        </w:rPr>
        <w:t>L</w:t>
      </w:r>
      <w:proofErr w:type="spellEnd"/>
      <w:r>
        <w:rPr>
          <w:rFonts w:eastAsia="ArialMT"/>
          <w:vertAlign w:val="superscript"/>
        </w:rPr>
        <w:t>–1</w:t>
      </w:r>
      <w:r>
        <w:rPr>
          <w:rFonts w:eastAsia="ArialMT"/>
        </w:rPr>
        <w:t xml:space="preserve"> afin </w:t>
      </w:r>
      <w:bookmarkEnd w:id="0"/>
      <w:r>
        <w:rPr>
          <w:rFonts w:eastAsia="ArialMT"/>
        </w:rPr>
        <w:t>d’éviter cette précipitation appelée « casse ferrique ».</w:t>
      </w:r>
    </w:p>
    <w:p w14:paraId="6F7A879E" w14:textId="77777777" w:rsidR="001B3A32" w:rsidRDefault="003B6332">
      <w:pPr>
        <w:spacing w:line="240" w:lineRule="auto"/>
        <w:jc w:val="right"/>
        <w:rPr>
          <w:color w:val="auto"/>
        </w:rPr>
      </w:pPr>
      <w:r>
        <w:rPr>
          <w:rFonts w:eastAsia="ArialMT"/>
          <w:i/>
        </w:rPr>
        <w:t>D’après le BUP n°775</w:t>
      </w:r>
    </w:p>
    <w:p w14:paraId="4AB1B381" w14:textId="77777777" w:rsidR="001B3A32" w:rsidRDefault="001B3A32">
      <w:pPr>
        <w:pStyle w:val="ECEcorps"/>
        <w:jc w:val="left"/>
      </w:pPr>
    </w:p>
    <w:p w14:paraId="1E40467D" w14:textId="77777777" w:rsidR="00911D36" w:rsidRDefault="00911D36">
      <w:pPr>
        <w:pStyle w:val="ECEcorps"/>
        <w:jc w:val="left"/>
      </w:pPr>
    </w:p>
    <w:p w14:paraId="22DCEF18" w14:textId="0C11032C" w:rsidR="001B3A32" w:rsidRPr="006F7D6C" w:rsidRDefault="003B6332">
      <w:pPr>
        <w:pStyle w:val="ECEcorps"/>
        <w:jc w:val="left"/>
        <w:rPr>
          <w:b/>
          <w:bCs/>
          <w:sz w:val="24"/>
          <w:szCs w:val="24"/>
        </w:rPr>
      </w:pPr>
      <w:r>
        <w:rPr>
          <w:b/>
          <w:bCs/>
          <w:sz w:val="24"/>
          <w:szCs w:val="24"/>
          <w:u w:val="single"/>
        </w:rPr>
        <w:t>Évaluation du risque de casse ferrique</w:t>
      </w:r>
    </w:p>
    <w:p w14:paraId="10CD42B7" w14:textId="77777777" w:rsidR="001B3A32" w:rsidRDefault="001B3A32">
      <w:pPr>
        <w:pStyle w:val="ECEcorps"/>
        <w:jc w:val="left"/>
      </w:pPr>
    </w:p>
    <w:p w14:paraId="2D851589" w14:textId="77777777" w:rsidR="001B3A32" w:rsidRDefault="00DF3FD0">
      <w:r>
        <w:t>La teneur en</w:t>
      </w:r>
      <w:r w:rsidR="003B6332">
        <w:t xml:space="preserve"> fer</w:t>
      </w:r>
      <w:r>
        <w:t> d’un vin</w:t>
      </w:r>
      <w:r w:rsidR="003B6332">
        <w:t xml:space="preserve"> est déterminée grâce à un dosage par étalonnage à l’aide d’un spectrophotomètre. Pour cela, on utilise une solution d’eau oxygénée pour oxyder la totalité des ions Fe</w:t>
      </w:r>
      <w:r w:rsidR="003B6332">
        <w:rPr>
          <w:vertAlign w:val="superscript"/>
        </w:rPr>
        <w:t>2+</w:t>
      </w:r>
      <w:r w:rsidR="003B6332">
        <w:t xml:space="preserve"> présents dans le vin en ions Fe</w:t>
      </w:r>
      <w:r w:rsidR="003B6332">
        <w:rPr>
          <w:vertAlign w:val="superscript"/>
        </w:rPr>
        <w:t>3+</w:t>
      </w:r>
      <w:r w:rsidR="003B6332">
        <w:t>. Les ions Fe</w:t>
      </w:r>
      <w:r w:rsidR="003B6332">
        <w:rPr>
          <w:vertAlign w:val="superscript"/>
        </w:rPr>
        <w:t xml:space="preserve">3+ </w:t>
      </w:r>
      <w:r w:rsidR="003B6332">
        <w:t>alors formés sont révélés par une solution de thiocyanate de potassium incolore, qui permet la formation d’une espèce chimique, notée [Fe(SCN)]</w:t>
      </w:r>
      <w:r w:rsidR="003B6332">
        <w:rPr>
          <w:vertAlign w:val="superscript"/>
        </w:rPr>
        <w:t>2+</w:t>
      </w:r>
      <w:r w:rsidR="003B6332">
        <w:t>, de couleur rouge.</w:t>
      </w:r>
    </w:p>
    <w:p w14:paraId="3FE6B377" w14:textId="77777777" w:rsidR="006F7D6C" w:rsidRDefault="006F7D6C">
      <w:pPr>
        <w:rPr>
          <w:u w:val="single"/>
        </w:rPr>
      </w:pPr>
    </w:p>
    <w:p w14:paraId="6598054E" w14:textId="378D3994" w:rsidR="001B3A32" w:rsidRDefault="003B6332">
      <w:r>
        <w:rPr>
          <w:u w:val="single"/>
        </w:rPr>
        <w:t>Protocole</w:t>
      </w:r>
      <w:r>
        <w:t xml:space="preserve"> : </w:t>
      </w:r>
    </w:p>
    <w:p w14:paraId="141067B1" w14:textId="77777777" w:rsidR="001B3A32" w:rsidRDefault="003B6332">
      <w:pPr>
        <w:pStyle w:val="ECEcorps"/>
      </w:pPr>
      <w:r>
        <w:t>Pour un échantillon de 50,0 mL</w:t>
      </w:r>
      <w:r>
        <w:rPr>
          <w:color w:val="FF0000"/>
        </w:rPr>
        <w:t xml:space="preserve"> </w:t>
      </w:r>
      <w:r>
        <w:t>de vin à doser, ajouter 5,0 mL d’eau oxygénée puis 5,0 mL de la solution de thiocyanate de potassium. Agiter et mesurer l’absorbance de la solution obtenue.</w:t>
      </w:r>
    </w:p>
    <w:p w14:paraId="5466A96C" w14:textId="77777777" w:rsidR="001B3A32" w:rsidRDefault="001B3A32">
      <w:pPr>
        <w:pStyle w:val="ECEcorps"/>
        <w:jc w:val="left"/>
      </w:pPr>
    </w:p>
    <w:p w14:paraId="017E6FF3" w14:textId="77777777" w:rsidR="00911D36" w:rsidRDefault="00911D36">
      <w:pPr>
        <w:pStyle w:val="ECEcorps"/>
        <w:jc w:val="left"/>
      </w:pPr>
    </w:p>
    <w:p w14:paraId="6A997D57" w14:textId="1A310BAD" w:rsidR="001B3A32" w:rsidRPr="006F7D6C" w:rsidRDefault="003B6332">
      <w:pPr>
        <w:pStyle w:val="ECEcorps"/>
        <w:jc w:val="left"/>
        <w:rPr>
          <w:sz w:val="24"/>
          <w:szCs w:val="24"/>
        </w:rPr>
      </w:pPr>
      <w:r>
        <w:rPr>
          <w:b/>
          <w:bCs/>
          <w:sz w:val="24"/>
          <w:szCs w:val="24"/>
          <w:u w:val="single"/>
        </w:rPr>
        <w:t>Dosage par étalonnage</w:t>
      </w:r>
    </w:p>
    <w:p w14:paraId="1D6A5810" w14:textId="77777777" w:rsidR="001B3A32" w:rsidRDefault="001B3A32">
      <w:pPr>
        <w:pStyle w:val="ECEcorps"/>
        <w:jc w:val="left"/>
      </w:pPr>
    </w:p>
    <w:p w14:paraId="13C11A82" w14:textId="77777777" w:rsidR="001B3A32" w:rsidRDefault="003B6332">
      <w:r>
        <w:t>Le dosage par étalonnage repose sur l’utilisation de solutions de concentrations connues appelées solutions étalons. Les concentrations des solutions étalons sont données dans le tableau ci-dessous :</w:t>
      </w:r>
    </w:p>
    <w:p w14:paraId="7222A5A5" w14:textId="77777777" w:rsidR="001B3A32" w:rsidRDefault="001B3A32"/>
    <w:tbl>
      <w:tblPr>
        <w:tblStyle w:val="Grilledutableau"/>
        <w:tblW w:w="9127" w:type="dxa"/>
        <w:jc w:val="center"/>
        <w:tblLayout w:type="fixed"/>
        <w:tblLook w:val="04A0" w:firstRow="1" w:lastRow="0" w:firstColumn="1" w:lastColumn="0" w:noHBand="0" w:noVBand="1"/>
      </w:tblPr>
      <w:tblGrid>
        <w:gridCol w:w="3743"/>
        <w:gridCol w:w="1077"/>
        <w:gridCol w:w="1077"/>
        <w:gridCol w:w="1077"/>
        <w:gridCol w:w="1077"/>
        <w:gridCol w:w="1076"/>
      </w:tblGrid>
      <w:tr w:rsidR="001B3A32" w14:paraId="6E697D18" w14:textId="77777777">
        <w:trPr>
          <w:trHeight w:val="353"/>
          <w:jc w:val="center"/>
        </w:trPr>
        <w:tc>
          <w:tcPr>
            <w:tcW w:w="3742" w:type="dxa"/>
            <w:vAlign w:val="center"/>
          </w:tcPr>
          <w:p w14:paraId="3639A287" w14:textId="77777777" w:rsidR="001B3A32" w:rsidRDefault="003B6332">
            <w:pPr>
              <w:rPr>
                <w:b/>
              </w:rPr>
            </w:pPr>
            <w:r>
              <w:rPr>
                <w:b/>
              </w:rPr>
              <w:t>Solution</w:t>
            </w:r>
          </w:p>
        </w:tc>
        <w:tc>
          <w:tcPr>
            <w:tcW w:w="1077" w:type="dxa"/>
            <w:vAlign w:val="center"/>
          </w:tcPr>
          <w:p w14:paraId="5C1CEAFC" w14:textId="77777777" w:rsidR="001B3A32" w:rsidRDefault="003B6332">
            <w:pPr>
              <w:jc w:val="center"/>
              <w:rPr>
                <w:color w:val="auto"/>
              </w:rPr>
            </w:pPr>
            <w:r>
              <w:rPr>
                <w:color w:val="auto"/>
              </w:rPr>
              <w:t>1</w:t>
            </w:r>
          </w:p>
        </w:tc>
        <w:tc>
          <w:tcPr>
            <w:tcW w:w="1077" w:type="dxa"/>
            <w:vAlign w:val="center"/>
          </w:tcPr>
          <w:p w14:paraId="5C6FAC7F" w14:textId="77777777" w:rsidR="001B3A32" w:rsidRDefault="003B6332">
            <w:pPr>
              <w:jc w:val="center"/>
              <w:rPr>
                <w:color w:val="auto"/>
              </w:rPr>
            </w:pPr>
            <w:r>
              <w:rPr>
                <w:color w:val="auto"/>
              </w:rPr>
              <w:t>2</w:t>
            </w:r>
          </w:p>
        </w:tc>
        <w:tc>
          <w:tcPr>
            <w:tcW w:w="1077" w:type="dxa"/>
            <w:vAlign w:val="center"/>
          </w:tcPr>
          <w:p w14:paraId="43397401" w14:textId="77777777" w:rsidR="001B3A32" w:rsidRDefault="003B6332">
            <w:pPr>
              <w:jc w:val="center"/>
              <w:rPr>
                <w:color w:val="auto"/>
              </w:rPr>
            </w:pPr>
            <w:r>
              <w:rPr>
                <w:color w:val="auto"/>
              </w:rPr>
              <w:t>3</w:t>
            </w:r>
          </w:p>
        </w:tc>
        <w:tc>
          <w:tcPr>
            <w:tcW w:w="1077" w:type="dxa"/>
            <w:vAlign w:val="center"/>
          </w:tcPr>
          <w:p w14:paraId="0E242B79" w14:textId="77777777" w:rsidR="001B3A32" w:rsidRDefault="003B6332">
            <w:pPr>
              <w:jc w:val="center"/>
              <w:rPr>
                <w:color w:val="auto"/>
              </w:rPr>
            </w:pPr>
            <w:r>
              <w:rPr>
                <w:color w:val="auto"/>
              </w:rPr>
              <w:t>4</w:t>
            </w:r>
          </w:p>
        </w:tc>
        <w:tc>
          <w:tcPr>
            <w:tcW w:w="1076" w:type="dxa"/>
            <w:vAlign w:val="center"/>
          </w:tcPr>
          <w:p w14:paraId="1CA48405" w14:textId="77777777" w:rsidR="001B3A32" w:rsidRDefault="003B6332">
            <w:pPr>
              <w:jc w:val="center"/>
              <w:rPr>
                <w:color w:val="auto"/>
              </w:rPr>
            </w:pPr>
            <w:r>
              <w:rPr>
                <w:color w:val="auto"/>
              </w:rPr>
              <w:t>Mère</w:t>
            </w:r>
          </w:p>
        </w:tc>
      </w:tr>
      <w:tr w:rsidR="001B3A32" w14:paraId="332D9F17" w14:textId="77777777">
        <w:trPr>
          <w:trHeight w:val="370"/>
          <w:jc w:val="center"/>
        </w:trPr>
        <w:tc>
          <w:tcPr>
            <w:tcW w:w="3742" w:type="dxa"/>
            <w:vAlign w:val="center"/>
          </w:tcPr>
          <w:p w14:paraId="5FF0F448" w14:textId="77777777" w:rsidR="001B3A32" w:rsidRDefault="003B6332">
            <w:pPr>
              <w:rPr>
                <w:b/>
                <w:vertAlign w:val="superscript"/>
              </w:rPr>
            </w:pPr>
            <w:r>
              <w:rPr>
                <w:b/>
              </w:rPr>
              <w:t>Concentration en ions Fe</w:t>
            </w:r>
            <w:r>
              <w:rPr>
                <w:b/>
                <w:vertAlign w:val="superscript"/>
              </w:rPr>
              <w:t xml:space="preserve">3+ </w:t>
            </w:r>
            <w:r>
              <w:rPr>
                <w:b/>
              </w:rPr>
              <w:t xml:space="preserve">en </w:t>
            </w:r>
            <w:proofErr w:type="spellStart"/>
            <w:r>
              <w:rPr>
                <w:b/>
              </w:rPr>
              <w:t>mg</w:t>
            </w:r>
            <w:r>
              <w:t>·</w:t>
            </w:r>
            <w:r>
              <w:rPr>
                <w:b/>
              </w:rPr>
              <w:t>L</w:t>
            </w:r>
            <w:proofErr w:type="spellEnd"/>
            <w:r>
              <w:rPr>
                <w:b/>
                <w:vertAlign w:val="superscript"/>
              </w:rPr>
              <w:t>–1</w:t>
            </w:r>
          </w:p>
        </w:tc>
        <w:tc>
          <w:tcPr>
            <w:tcW w:w="1077" w:type="dxa"/>
            <w:vAlign w:val="center"/>
          </w:tcPr>
          <w:p w14:paraId="39D86405" w14:textId="77777777" w:rsidR="001B3A32" w:rsidRDefault="003B6332">
            <w:pPr>
              <w:jc w:val="center"/>
              <w:rPr>
                <w:color w:val="auto"/>
              </w:rPr>
            </w:pPr>
            <w:r>
              <w:rPr>
                <w:color w:val="auto"/>
              </w:rPr>
              <w:t>0,8</w:t>
            </w:r>
          </w:p>
        </w:tc>
        <w:tc>
          <w:tcPr>
            <w:tcW w:w="1077" w:type="dxa"/>
            <w:vAlign w:val="center"/>
          </w:tcPr>
          <w:p w14:paraId="3D81E2F1" w14:textId="77777777" w:rsidR="001B3A32" w:rsidRDefault="003B6332">
            <w:pPr>
              <w:jc w:val="center"/>
              <w:rPr>
                <w:color w:val="auto"/>
              </w:rPr>
            </w:pPr>
            <w:r>
              <w:rPr>
                <w:color w:val="auto"/>
              </w:rPr>
              <w:t>1,6</w:t>
            </w:r>
          </w:p>
        </w:tc>
        <w:tc>
          <w:tcPr>
            <w:tcW w:w="1077" w:type="dxa"/>
            <w:vAlign w:val="center"/>
          </w:tcPr>
          <w:p w14:paraId="3AEC0A33" w14:textId="77777777" w:rsidR="001B3A32" w:rsidRDefault="003B6332">
            <w:pPr>
              <w:jc w:val="center"/>
              <w:rPr>
                <w:color w:val="auto"/>
              </w:rPr>
            </w:pPr>
            <w:r>
              <w:rPr>
                <w:color w:val="auto"/>
              </w:rPr>
              <w:t>4,0</w:t>
            </w:r>
          </w:p>
        </w:tc>
        <w:tc>
          <w:tcPr>
            <w:tcW w:w="1077" w:type="dxa"/>
            <w:vAlign w:val="center"/>
          </w:tcPr>
          <w:p w14:paraId="0C50076B" w14:textId="77777777" w:rsidR="001B3A32" w:rsidRDefault="003B6332">
            <w:pPr>
              <w:jc w:val="center"/>
              <w:rPr>
                <w:color w:val="auto"/>
              </w:rPr>
            </w:pPr>
            <w:r>
              <w:rPr>
                <w:color w:val="auto"/>
              </w:rPr>
              <w:t>8,0</w:t>
            </w:r>
          </w:p>
        </w:tc>
        <w:tc>
          <w:tcPr>
            <w:tcW w:w="1076" w:type="dxa"/>
            <w:vAlign w:val="center"/>
          </w:tcPr>
          <w:p w14:paraId="753952E2" w14:textId="77777777" w:rsidR="001B3A32" w:rsidRDefault="003B6332">
            <w:pPr>
              <w:jc w:val="center"/>
              <w:rPr>
                <w:color w:val="auto"/>
              </w:rPr>
            </w:pPr>
            <w:r>
              <w:rPr>
                <w:color w:val="auto"/>
              </w:rPr>
              <w:t>40,0</w:t>
            </w:r>
          </w:p>
        </w:tc>
      </w:tr>
    </w:tbl>
    <w:p w14:paraId="783CF9E9" w14:textId="77777777" w:rsidR="001B3A32" w:rsidRDefault="001B3A32"/>
    <w:p w14:paraId="564C6790" w14:textId="041881FE" w:rsidR="001B3A32" w:rsidRDefault="003B6332">
      <w:r>
        <w:t xml:space="preserve">Chaque solution étalon d’ions </w:t>
      </w:r>
      <w:r>
        <w:rPr>
          <w:rFonts w:eastAsia="ArialMT"/>
        </w:rPr>
        <w:t>Fe</w:t>
      </w:r>
      <w:r>
        <w:rPr>
          <w:rFonts w:eastAsia="ArialMT"/>
          <w:vertAlign w:val="superscript"/>
        </w:rPr>
        <w:t>3+</w:t>
      </w:r>
      <w:r>
        <w:t xml:space="preserve"> d’un volume de 50 mL est préparée à partir d’une solution mère </w:t>
      </w:r>
      <w:r>
        <w:rPr>
          <w:color w:val="auto"/>
        </w:rPr>
        <w:t>d’ions Fe</w:t>
      </w:r>
      <w:r>
        <w:rPr>
          <w:color w:val="auto"/>
          <w:vertAlign w:val="superscript"/>
        </w:rPr>
        <w:t>3+</w:t>
      </w:r>
      <w:r>
        <w:t xml:space="preserve"> de concentration en masse de </w:t>
      </w:r>
      <w:r>
        <w:rPr>
          <w:color w:val="auto"/>
        </w:rPr>
        <w:t>40,0</w:t>
      </w:r>
      <w:r w:rsidR="00B748EB">
        <w:t xml:space="preserve"> </w:t>
      </w:r>
      <w:proofErr w:type="spellStart"/>
      <w:r w:rsidR="00B748EB">
        <w:t>mg·</w:t>
      </w:r>
      <w:r>
        <w:t>L</w:t>
      </w:r>
      <w:proofErr w:type="spellEnd"/>
      <w:r>
        <w:rPr>
          <w:vertAlign w:val="superscript"/>
        </w:rPr>
        <w:t>–1</w:t>
      </w:r>
      <w:r>
        <w:t>.</w:t>
      </w:r>
    </w:p>
    <w:p w14:paraId="3B3FB069" w14:textId="77777777" w:rsidR="006F7D6C" w:rsidRDefault="006F7D6C"/>
    <w:p w14:paraId="4C2DEC55" w14:textId="4C1060E3" w:rsidR="001B3A32" w:rsidRDefault="00400733">
      <w:pPr>
        <w:pStyle w:val="ECEcorps"/>
      </w:pPr>
      <w:r w:rsidRPr="00400733">
        <w:rPr>
          <w:u w:val="single"/>
        </w:rPr>
        <w:t>Préparation de l’échelle des teintes</w:t>
      </w:r>
      <w:r w:rsidRPr="00400733">
        <w:rPr>
          <w:b/>
          <w:bCs/>
        </w:rPr>
        <w:t> </w:t>
      </w:r>
      <w:r>
        <w:t xml:space="preserve">: </w:t>
      </w:r>
      <w:r w:rsidR="003B6332">
        <w:t xml:space="preserve">Pour préparer </w:t>
      </w:r>
      <w:r w:rsidR="003B6332" w:rsidRPr="00400733">
        <w:t>l’échelle de teintes</w:t>
      </w:r>
      <w:r w:rsidR="003B6332">
        <w:t xml:space="preserve"> dans les mêmes conditions que l’échantillon de vin à doser, on ajoute à 50,0 mL de chaque</w:t>
      </w:r>
      <w:r w:rsidR="003B6332">
        <w:rPr>
          <w:color w:val="FF0000"/>
        </w:rPr>
        <w:t xml:space="preserve"> </w:t>
      </w:r>
      <w:r w:rsidR="003B6332">
        <w:t>solution étalon, 5,0 mL de solution de thiocyanate de potassium et 5,0 mL d'eau distillée, puis on agite.</w:t>
      </w:r>
    </w:p>
    <w:p w14:paraId="18D05DBC" w14:textId="77777777" w:rsidR="001B3A32" w:rsidRDefault="001B3A32">
      <w:pPr>
        <w:pStyle w:val="ECEcorps"/>
        <w:rPr>
          <w:b/>
          <w:bCs/>
          <w:sz w:val="24"/>
          <w:szCs w:val="24"/>
          <w:u w:val="single"/>
        </w:rPr>
      </w:pPr>
    </w:p>
    <w:p w14:paraId="0CA8BB82" w14:textId="77777777" w:rsidR="00911D36" w:rsidRDefault="00911D36">
      <w:pPr>
        <w:pStyle w:val="ECEcorps"/>
        <w:rPr>
          <w:b/>
          <w:bCs/>
          <w:sz w:val="24"/>
          <w:szCs w:val="24"/>
          <w:u w:val="single"/>
        </w:rPr>
      </w:pPr>
    </w:p>
    <w:p w14:paraId="402E2545" w14:textId="48F1D3E6" w:rsidR="001B3A32" w:rsidRPr="006F7D6C" w:rsidRDefault="003B6332">
      <w:pPr>
        <w:pStyle w:val="ECEcorps"/>
        <w:rPr>
          <w:sz w:val="24"/>
          <w:szCs w:val="24"/>
        </w:rPr>
      </w:pPr>
      <w:r>
        <w:rPr>
          <w:b/>
          <w:bCs/>
          <w:sz w:val="24"/>
          <w:szCs w:val="24"/>
          <w:u w:val="single"/>
        </w:rPr>
        <w:t xml:space="preserve">Absorbance et loi de </w:t>
      </w:r>
      <w:proofErr w:type="spellStart"/>
      <w:r>
        <w:rPr>
          <w:b/>
          <w:bCs/>
          <w:sz w:val="24"/>
          <w:szCs w:val="24"/>
          <w:u w:val="single"/>
        </w:rPr>
        <w:t>Beer</w:t>
      </w:r>
      <w:proofErr w:type="spellEnd"/>
      <w:r>
        <w:rPr>
          <w:b/>
          <w:bCs/>
          <w:sz w:val="24"/>
          <w:szCs w:val="24"/>
          <w:u w:val="single"/>
        </w:rPr>
        <w:t>-Lambert</w:t>
      </w:r>
    </w:p>
    <w:p w14:paraId="4558A700" w14:textId="77777777" w:rsidR="001B3A32" w:rsidRDefault="001B3A32">
      <w:pPr>
        <w:pStyle w:val="ECEcorps"/>
        <w:rPr>
          <w:sz w:val="24"/>
          <w:szCs w:val="24"/>
        </w:rPr>
      </w:pPr>
    </w:p>
    <w:p w14:paraId="750B8A28" w14:textId="45A824E5" w:rsidR="001B3A32" w:rsidRDefault="003B6332">
      <w:pPr>
        <w:pStyle w:val="ECEcorps"/>
      </w:pPr>
      <w:r>
        <w:t>Lorsqu’un rayonnement traverse une cuve contenant une espèce chimique colorée en solution, on observe une diminution de l’intensité lumineuse à l’issu</w:t>
      </w:r>
      <w:r w:rsidR="00FA6D30">
        <w:t>e</w:t>
      </w:r>
      <w:r>
        <w:t xml:space="preserve"> de cette cuve : il s'agit du phénomène d'absorbance.</w:t>
      </w:r>
    </w:p>
    <w:p w14:paraId="56C01498" w14:textId="77777777" w:rsidR="001B3A32" w:rsidRDefault="001B3A32">
      <w:pPr>
        <w:pStyle w:val="ECEcorps"/>
        <w:rPr>
          <w:sz w:val="8"/>
          <w:szCs w:val="8"/>
        </w:rPr>
      </w:pPr>
    </w:p>
    <w:p w14:paraId="21E2F2FF" w14:textId="53315784" w:rsidR="001B3A32" w:rsidRDefault="003B6332">
      <w:pPr>
        <w:pStyle w:val="ECEcorps"/>
      </w:pPr>
      <w:r w:rsidRPr="00911D36">
        <w:t xml:space="preserve">La </w:t>
      </w:r>
      <w:r w:rsidRPr="00911D36">
        <w:rPr>
          <w:rStyle w:val="lev"/>
          <w:b w:val="0"/>
        </w:rPr>
        <w:t>loi de Beer-Lambert</w:t>
      </w:r>
      <w:r w:rsidRPr="00911D36">
        <w:rPr>
          <w:rStyle w:val="lev"/>
        </w:rPr>
        <w:t xml:space="preserve">, </w:t>
      </w:r>
      <m:oMath>
        <m:r>
          <m:rPr>
            <m:lit/>
            <m:nor/>
          </m:rPr>
          <w:rPr>
            <w:i/>
          </w:rPr>
          <m:t xml:space="preserve">A = k </m:t>
        </m:r>
        <m:r>
          <m:rPr>
            <m:nor/>
          </m:rPr>
          <w:rPr>
            <w:i/>
          </w:rPr>
          <m:t>∙</m:t>
        </m:r>
        <m:r>
          <m:rPr>
            <m:nor/>
          </m:rPr>
          <w:rPr>
            <w:rFonts w:ascii="Cambria Math"/>
            <w:i/>
          </w:rPr>
          <m:t xml:space="preserve"> </m:t>
        </m:r>
        <m:r>
          <m:rPr>
            <m:lit/>
            <m:nor/>
          </m:rPr>
          <w:rPr>
            <w:i/>
          </w:rPr>
          <m:t>C</m:t>
        </m:r>
      </m:oMath>
      <w:r w:rsidRPr="00911D36">
        <w:rPr>
          <w:rStyle w:val="lev"/>
        </w:rPr>
        <w:t xml:space="preserve">, </w:t>
      </w:r>
      <w:r w:rsidRPr="00911D36">
        <w:t xml:space="preserve">illustre que l'absorbance </w:t>
      </w:r>
      <w:r w:rsidRPr="00911D36">
        <w:rPr>
          <w:i/>
          <w:iCs/>
        </w:rPr>
        <w:t xml:space="preserve">A </w:t>
      </w:r>
      <w:r w:rsidRPr="00911D36">
        <w:t>d'une solution est proportionnelle à la concentration </w:t>
      </w:r>
      <w:r w:rsidRPr="00911D36">
        <w:rPr>
          <w:i/>
        </w:rPr>
        <w:t>C</w:t>
      </w:r>
      <w:r>
        <w:t xml:space="preserve"> de l’espèce colorée. Le coefficient de proportionnalité </w:t>
      </w:r>
      <w:r>
        <w:rPr>
          <w:i/>
          <w:iCs/>
        </w:rPr>
        <w:t xml:space="preserve">k </w:t>
      </w:r>
      <w:r>
        <w:t>dépend entre autre</w:t>
      </w:r>
      <w:r w:rsidR="005E00AE">
        <w:t>s</w:t>
      </w:r>
      <w:r>
        <w:t xml:space="preserve"> de la nature de la solution et de la longueur d'onde du rayonnement utilisé pour les mesures.</w:t>
      </w:r>
    </w:p>
    <w:p w14:paraId="1A90EA12" w14:textId="77777777" w:rsidR="001B3A32" w:rsidRDefault="001B3A32">
      <w:pPr>
        <w:pStyle w:val="ECEcorps"/>
      </w:pPr>
    </w:p>
    <w:p w14:paraId="44706851" w14:textId="77777777" w:rsidR="001B3A32" w:rsidRDefault="003B6332">
      <w:pPr>
        <w:spacing w:line="240" w:lineRule="auto"/>
        <w:jc w:val="left"/>
        <w:rPr>
          <w:color w:val="auto"/>
        </w:rPr>
      </w:pPr>
      <w:r>
        <w:br w:type="page"/>
      </w:r>
    </w:p>
    <w:p w14:paraId="275EB29C" w14:textId="77777777" w:rsidR="001B3A32" w:rsidRPr="00911D36" w:rsidRDefault="003B6332">
      <w:pPr>
        <w:pStyle w:val="ECEtitre"/>
        <w:rPr>
          <w:sz w:val="24"/>
          <w:szCs w:val="24"/>
        </w:rPr>
      </w:pPr>
      <w:r w:rsidRPr="00911D36">
        <w:rPr>
          <w:sz w:val="24"/>
          <w:szCs w:val="24"/>
        </w:rPr>
        <w:lastRenderedPageBreak/>
        <w:t xml:space="preserve">TRAVAIL À EFFECTUER </w:t>
      </w:r>
    </w:p>
    <w:p w14:paraId="76F6D393" w14:textId="77777777" w:rsidR="001B3A32" w:rsidRDefault="001B3A32">
      <w:pPr>
        <w:pStyle w:val="ECEcorps"/>
        <w:rPr>
          <w:b/>
          <w:bCs/>
          <w:u w:val="single"/>
        </w:rPr>
      </w:pPr>
    </w:p>
    <w:p w14:paraId="761FA47D" w14:textId="7F5CF7A5" w:rsidR="001B3A32" w:rsidRDefault="003B6332">
      <w:pPr>
        <w:pStyle w:val="ECEpartie"/>
        <w:numPr>
          <w:ilvl w:val="0"/>
          <w:numId w:val="6"/>
        </w:numPr>
        <w:rPr>
          <w:b w:val="0"/>
          <w:color w:val="000000" w:themeColor="text1"/>
        </w:rPr>
      </w:pPr>
      <w:bookmarkStart w:id="1" w:name="_Toc418889711"/>
      <w:bookmarkStart w:id="2" w:name="_Toc418887870"/>
      <w:r>
        <w:rPr>
          <w:color w:val="000000" w:themeColor="text1"/>
        </w:rPr>
        <w:t xml:space="preserve"> </w:t>
      </w:r>
      <w:bookmarkStart w:id="3" w:name="_Toc534722219"/>
      <w:bookmarkStart w:id="4" w:name="_Toc441131650"/>
      <w:bookmarkStart w:id="5" w:name="_Toc435524251"/>
      <w:r w:rsidR="00400733">
        <w:rPr>
          <w:color w:val="000000" w:themeColor="text1"/>
        </w:rPr>
        <w:t>Préparation d’une solution manquante et p</w:t>
      </w:r>
      <w:r>
        <w:rPr>
          <w:color w:val="000000" w:themeColor="text1"/>
        </w:rPr>
        <w:t xml:space="preserve">roposition d’un protocole </w:t>
      </w:r>
      <w:bookmarkEnd w:id="1"/>
      <w:bookmarkEnd w:id="2"/>
      <w:r>
        <w:rPr>
          <w:b w:val="0"/>
          <w:color w:val="000000" w:themeColor="text1"/>
        </w:rPr>
        <w:t>(20 minutes conseillées)</w:t>
      </w:r>
      <w:bookmarkEnd w:id="3"/>
      <w:bookmarkEnd w:id="4"/>
      <w:bookmarkEnd w:id="5"/>
    </w:p>
    <w:p w14:paraId="36F63371" w14:textId="77777777" w:rsidR="001B3A32" w:rsidRDefault="001B3A32">
      <w:pPr>
        <w:pStyle w:val="ECEcorps"/>
      </w:pPr>
    </w:p>
    <w:p w14:paraId="516F7318" w14:textId="3B9F3A88" w:rsidR="00400733" w:rsidRDefault="00400733" w:rsidP="00400733">
      <w:pPr>
        <w:pStyle w:val="Paragraphedeliste"/>
        <w:numPr>
          <w:ilvl w:val="1"/>
          <w:numId w:val="8"/>
        </w:numPr>
      </w:pPr>
      <w:r>
        <w:t>P</w:t>
      </w:r>
      <w:r w:rsidR="003B6332">
        <w:t>répar</w:t>
      </w:r>
      <w:r>
        <w:t>ation d’une solution pour compléter l’échelle des teintes :</w:t>
      </w:r>
    </w:p>
    <w:p w14:paraId="777E2053" w14:textId="77777777" w:rsidR="00400733" w:rsidRDefault="00400733" w:rsidP="00400733">
      <w:pPr>
        <w:pStyle w:val="Paragraphedeliste"/>
        <w:ind w:left="360"/>
      </w:pPr>
    </w:p>
    <w:p w14:paraId="1E203C69" w14:textId="2A507169" w:rsidR="001B3A32" w:rsidRDefault="00400733" w:rsidP="004B110E">
      <w:pPr>
        <w:pStyle w:val="Paragraphedeliste"/>
        <w:numPr>
          <w:ilvl w:val="0"/>
          <w:numId w:val="11"/>
        </w:numPr>
      </w:pPr>
      <w:r>
        <w:t xml:space="preserve">La solution étalon de concentration en masse </w:t>
      </w:r>
      <w:r w:rsidRPr="004B110E">
        <w:rPr>
          <w:i/>
        </w:rPr>
        <w:t>C</w:t>
      </w:r>
      <w:r>
        <w:t xml:space="preserve"> = </w:t>
      </w:r>
      <w:r w:rsidRPr="004B110E">
        <w:rPr>
          <w:color w:val="auto"/>
        </w:rPr>
        <w:t>8,0</w:t>
      </w:r>
      <w:r>
        <w:t xml:space="preserve"> </w:t>
      </w:r>
      <w:proofErr w:type="spellStart"/>
      <w:r>
        <w:t>mg·L</w:t>
      </w:r>
      <w:proofErr w:type="spellEnd"/>
      <w:r w:rsidRPr="004B110E">
        <w:rPr>
          <w:vertAlign w:val="superscript"/>
        </w:rPr>
        <w:t>–1</w:t>
      </w:r>
      <w:r>
        <w:t xml:space="preserve"> est manquante. </w:t>
      </w:r>
      <w:r w:rsidR="00FA6D30">
        <w:t>À</w:t>
      </w:r>
      <w:r>
        <w:t xml:space="preserve"> l’aide de la solution mère et du matériel mis à disposition, préparer</w:t>
      </w:r>
      <w:r w:rsidR="003B6332">
        <w:t xml:space="preserve"> 50,0 </w:t>
      </w:r>
      <w:proofErr w:type="spellStart"/>
      <w:r w:rsidR="003B6332">
        <w:t>mL</w:t>
      </w:r>
      <w:proofErr w:type="spellEnd"/>
      <w:r w:rsidR="003B6332">
        <w:t xml:space="preserve"> de </w:t>
      </w:r>
      <w:r>
        <w:t>cette</w:t>
      </w:r>
      <w:r w:rsidR="003B6332">
        <w:t xml:space="preserve"> solution étalon</w:t>
      </w:r>
      <w:r>
        <w:t>.</w:t>
      </w:r>
    </w:p>
    <w:p w14:paraId="0E44ED5B" w14:textId="3285B701" w:rsidR="001B3A32" w:rsidRDefault="001B3A32"/>
    <w:p w14:paraId="3CE882D2" w14:textId="77777777" w:rsidR="00E95C99" w:rsidRDefault="00E95C99" w:rsidP="004B110E">
      <w:pPr>
        <w:pStyle w:val="Paragraphedeliste"/>
        <w:numPr>
          <w:ilvl w:val="0"/>
          <w:numId w:val="11"/>
        </w:numPr>
      </w:pPr>
      <w:r>
        <w:t>Pour utiliser cette solution dans l’échelle de teintes, il est nécessaire de la compléter en suivant le protocole « préparation de l’échelle de teintes » proposé en page 2 de cette situation d’évaluation.</w:t>
      </w:r>
    </w:p>
    <w:p w14:paraId="27000C49" w14:textId="77777777" w:rsidR="00400733" w:rsidRDefault="00400733" w:rsidP="00400733">
      <w:pPr>
        <w:pStyle w:val="Paragraphedeliste"/>
      </w:pPr>
    </w:p>
    <w:p w14:paraId="0552771B" w14:textId="7E0DDB1F" w:rsidR="001B3A32" w:rsidRDefault="00FF457F">
      <w:r>
        <w:t xml:space="preserve">1.2 </w:t>
      </w:r>
      <w:r w:rsidR="003B6332">
        <w:t xml:space="preserve">Proposer un protocole, </w:t>
      </w:r>
      <w:r w:rsidR="003B6332">
        <w:rPr>
          <w:color w:val="auto"/>
        </w:rPr>
        <w:t>utilisant une échelle de teintes,</w:t>
      </w:r>
      <w:r w:rsidR="003B6332">
        <w:t xml:space="preserve"> pour déterminer la concentration en masse en ions Fe</w:t>
      </w:r>
      <w:r w:rsidR="003B6332">
        <w:rPr>
          <w:vertAlign w:val="superscript"/>
        </w:rPr>
        <w:t>3+</w:t>
      </w:r>
      <w:r w:rsidR="003B6332">
        <w:t xml:space="preserve"> d’un vin à partir d’une courbe d’étalonnage. </w:t>
      </w:r>
    </w:p>
    <w:p w14:paraId="47AFFF61" w14:textId="77777777" w:rsidR="001B3A32" w:rsidRDefault="003B6332">
      <w:pPr>
        <w:pStyle w:val="ECErponse"/>
      </w:pPr>
      <w:r>
        <w:t>…………………………………………………………………………………………………..……….………..………………..</w:t>
      </w:r>
    </w:p>
    <w:p w14:paraId="45E50B66" w14:textId="77777777" w:rsidR="001B3A32" w:rsidRDefault="003B6332">
      <w:pPr>
        <w:pStyle w:val="ECErponse"/>
      </w:pPr>
      <w:r>
        <w:t>…………………………………………………………………………………………………..……….………..………………..</w:t>
      </w:r>
    </w:p>
    <w:p w14:paraId="7EF315C0" w14:textId="77777777" w:rsidR="001B3A32" w:rsidRDefault="003B6332">
      <w:pPr>
        <w:pStyle w:val="ECErponse"/>
      </w:pPr>
      <w:r>
        <w:t>…………………………………………………………………………………………………..……….………..………………..</w:t>
      </w:r>
    </w:p>
    <w:p w14:paraId="4E9674D0" w14:textId="77777777" w:rsidR="001B3A32" w:rsidRDefault="003B6332">
      <w:pPr>
        <w:pStyle w:val="ECErponse"/>
      </w:pPr>
      <w:r>
        <w:t>…………………………………………………………………………………………………..……….………..………………..</w:t>
      </w:r>
    </w:p>
    <w:p w14:paraId="7D0C3862" w14:textId="77777777" w:rsidR="001B3A32" w:rsidRDefault="003B6332">
      <w:pPr>
        <w:pStyle w:val="ECErponse"/>
      </w:pPr>
      <w:r>
        <w:t>…………………………………………………………………………………………………..……….………..………………..</w:t>
      </w:r>
    </w:p>
    <w:p w14:paraId="58DC0C39" w14:textId="77777777" w:rsidR="001B3A32" w:rsidRDefault="003B6332">
      <w:pPr>
        <w:pStyle w:val="ECErponse"/>
      </w:pPr>
      <w:r>
        <w:t>…………………………………………………………………………………………………..……….………..………………..</w:t>
      </w:r>
    </w:p>
    <w:p w14:paraId="0CCDD408" w14:textId="77777777" w:rsidR="001B3A32" w:rsidRDefault="003B6332">
      <w:pPr>
        <w:pStyle w:val="ECErponse"/>
      </w:pPr>
      <w:r>
        <w:t>…………………………………………………………………………………………………..……….………..………………..</w:t>
      </w:r>
    </w:p>
    <w:p w14:paraId="4F4BEAE8" w14:textId="77777777" w:rsidR="001B3A32" w:rsidRDefault="003B6332">
      <w:pPr>
        <w:pStyle w:val="ECErponse"/>
      </w:pPr>
      <w:r>
        <w:t>…………………………………………………………………………………………………..……….………..………………..</w:t>
      </w:r>
    </w:p>
    <w:p w14:paraId="2E7FA25F" w14:textId="77777777" w:rsidR="001B3A32" w:rsidRDefault="003B6332">
      <w:pPr>
        <w:pStyle w:val="ECErponse"/>
      </w:pPr>
      <w:r>
        <w:t>…………………………………………………………………………………………………..……….………..………………..</w:t>
      </w:r>
    </w:p>
    <w:p w14:paraId="7184D30D" w14:textId="77777777" w:rsidR="001B3A32" w:rsidRDefault="003B6332">
      <w:pPr>
        <w:pStyle w:val="ECErponse"/>
      </w:pPr>
      <w:r>
        <w:t>…………………………………………………………………………………………………..……….………..………………..</w:t>
      </w:r>
    </w:p>
    <w:p w14:paraId="0FA190F0" w14:textId="77777777" w:rsidR="001B3A32" w:rsidRDefault="003B6332">
      <w:pPr>
        <w:pStyle w:val="ECErponse"/>
      </w:pPr>
      <w:r>
        <w:t>…………………………………………………………………………………………………..……….………..………………..</w:t>
      </w:r>
    </w:p>
    <w:p w14:paraId="4441FA5D" w14:textId="77777777" w:rsidR="001B3A32" w:rsidRDefault="003B6332">
      <w:pPr>
        <w:pStyle w:val="ECErponse"/>
      </w:pPr>
      <w:r>
        <w:t>…………………………………………………………………………………………………..……….………..………………..</w:t>
      </w:r>
    </w:p>
    <w:p w14:paraId="322E9DF3" w14:textId="77777777" w:rsidR="001B3A32" w:rsidRDefault="003B6332">
      <w:pPr>
        <w:pStyle w:val="ECErponse"/>
      </w:pPr>
      <w:r>
        <w:t>…………………………………………………………………………………………………..……….………..………………..</w:t>
      </w:r>
    </w:p>
    <w:p w14:paraId="416E36CA" w14:textId="77777777" w:rsidR="001B3A32" w:rsidRDefault="003B6332">
      <w:pPr>
        <w:pStyle w:val="ECErponse"/>
      </w:pPr>
      <w:r>
        <w:t>…………………………………………………………………………………………………..……….………..………………..</w:t>
      </w:r>
    </w:p>
    <w:p w14:paraId="3C38B01C" w14:textId="77777777" w:rsidR="001B3A32" w:rsidRDefault="003B6332">
      <w:pPr>
        <w:pStyle w:val="ECErponse"/>
      </w:pPr>
      <w:r>
        <w:t>…………………………………………………………………………………………………..……….………..………………..</w:t>
      </w:r>
    </w:p>
    <w:p w14:paraId="65C8FC02" w14:textId="77777777" w:rsidR="001B3A32" w:rsidRDefault="003B6332">
      <w:pPr>
        <w:pStyle w:val="ECErponse"/>
      </w:pPr>
      <w:r>
        <w:t>…………………………………………………………………………………………………..……….………..………………..</w:t>
      </w:r>
    </w:p>
    <w:p w14:paraId="6A78D0C2" w14:textId="77777777" w:rsidR="001B3A32" w:rsidRDefault="001B3A32">
      <w:pPr>
        <w:pStyle w:val="ECEcorps"/>
      </w:pPr>
    </w:p>
    <w:tbl>
      <w:tblPr>
        <w:tblStyle w:val="Grilledutableau"/>
        <w:tblW w:w="9640" w:type="dxa"/>
        <w:jc w:val="center"/>
        <w:tblLayout w:type="fixed"/>
        <w:tblCellMar>
          <w:top w:w="57" w:type="dxa"/>
          <w:left w:w="57" w:type="dxa"/>
          <w:bottom w:w="57" w:type="dxa"/>
          <w:right w:w="57" w:type="dxa"/>
        </w:tblCellMar>
        <w:tblLook w:val="04A0" w:firstRow="1" w:lastRow="0" w:firstColumn="1" w:lastColumn="0" w:noHBand="0" w:noVBand="1"/>
      </w:tblPr>
      <w:tblGrid>
        <w:gridCol w:w="1418"/>
        <w:gridCol w:w="6803"/>
        <w:gridCol w:w="1419"/>
      </w:tblGrid>
      <w:tr w:rsidR="001B3A32" w14:paraId="3E8977C8" w14:textId="77777777">
        <w:trPr>
          <w:jc w:val="center"/>
        </w:trPr>
        <w:tc>
          <w:tcPr>
            <w:tcW w:w="1418" w:type="dxa"/>
            <w:tcBorders>
              <w:top w:val="single" w:sz="18" w:space="0" w:color="000000"/>
              <w:left w:val="single" w:sz="18" w:space="0" w:color="000000"/>
              <w:bottom w:val="single" w:sz="6" w:space="0" w:color="000000"/>
              <w:right w:val="nil"/>
            </w:tcBorders>
            <w:shd w:val="clear" w:color="auto" w:fill="D9D9D9"/>
            <w:vAlign w:val="center"/>
          </w:tcPr>
          <w:p w14:paraId="37EDA23B" w14:textId="77777777" w:rsidR="001B3A32" w:rsidRDefault="001B3A32">
            <w:pPr>
              <w:jc w:val="center"/>
              <w:rPr>
                <w:bCs/>
                <w:color w:val="auto"/>
                <w:szCs w:val="22"/>
              </w:rPr>
            </w:pPr>
          </w:p>
        </w:tc>
        <w:tc>
          <w:tcPr>
            <w:tcW w:w="6803" w:type="dxa"/>
            <w:tcBorders>
              <w:top w:val="single" w:sz="18" w:space="0" w:color="000000"/>
              <w:left w:val="nil"/>
              <w:bottom w:val="single" w:sz="6" w:space="0" w:color="000000"/>
              <w:right w:val="nil"/>
            </w:tcBorders>
            <w:shd w:val="clear" w:color="auto" w:fill="D9D9D9"/>
            <w:vAlign w:val="center"/>
          </w:tcPr>
          <w:p w14:paraId="32757FA9" w14:textId="77777777" w:rsidR="001B3A32" w:rsidRDefault="003B6332">
            <w:pPr>
              <w:pStyle w:val="ECEappel"/>
            </w:pPr>
            <w:r>
              <w:t>APPEL n°1</w:t>
            </w:r>
          </w:p>
        </w:tc>
        <w:tc>
          <w:tcPr>
            <w:tcW w:w="1419" w:type="dxa"/>
            <w:tcBorders>
              <w:top w:val="single" w:sz="18" w:space="0" w:color="000000"/>
              <w:left w:val="nil"/>
              <w:bottom w:val="single" w:sz="6" w:space="0" w:color="000000"/>
              <w:right w:val="single" w:sz="18" w:space="0" w:color="000000"/>
            </w:tcBorders>
            <w:shd w:val="clear" w:color="auto" w:fill="D9D9D9"/>
            <w:vAlign w:val="center"/>
          </w:tcPr>
          <w:p w14:paraId="60AF4225" w14:textId="77777777" w:rsidR="001B3A32" w:rsidRDefault="001B3A32">
            <w:pPr>
              <w:jc w:val="center"/>
              <w:rPr>
                <w:bCs/>
                <w:color w:val="auto"/>
                <w:szCs w:val="22"/>
              </w:rPr>
            </w:pPr>
          </w:p>
        </w:tc>
      </w:tr>
      <w:tr w:rsidR="001B3A32" w14:paraId="2A118112" w14:textId="77777777">
        <w:trPr>
          <w:jc w:val="center"/>
        </w:trPr>
        <w:tc>
          <w:tcPr>
            <w:tcW w:w="1418" w:type="dxa"/>
            <w:tcBorders>
              <w:top w:val="single" w:sz="6" w:space="0" w:color="000000"/>
              <w:left w:val="single" w:sz="18" w:space="0" w:color="000000"/>
              <w:bottom w:val="single" w:sz="18" w:space="0" w:color="000000"/>
              <w:right w:val="single" w:sz="6" w:space="0" w:color="000000"/>
            </w:tcBorders>
            <w:vAlign w:val="center"/>
          </w:tcPr>
          <w:p w14:paraId="3AC5148A" w14:textId="77777777" w:rsidR="001B3A32" w:rsidRDefault="003B6332">
            <w:pPr>
              <w:jc w:val="center"/>
              <w:rPr>
                <w:bCs/>
                <w:color w:val="auto"/>
                <w:sz w:val="96"/>
                <w:szCs w:val="96"/>
              </w:rPr>
            </w:pPr>
            <w:r>
              <w:rPr>
                <w:rFonts w:ascii="Wingdings" w:eastAsia="Wingdings" w:hAnsi="Wingdings" w:cs="Wingdings"/>
                <w:bCs/>
                <w:color w:val="auto"/>
                <w:sz w:val="96"/>
                <w:szCs w:val="96"/>
              </w:rPr>
              <w:t></w:t>
            </w:r>
          </w:p>
        </w:tc>
        <w:tc>
          <w:tcPr>
            <w:tcW w:w="6803" w:type="dxa"/>
            <w:tcBorders>
              <w:top w:val="single" w:sz="6" w:space="0" w:color="000000"/>
              <w:left w:val="single" w:sz="6" w:space="0" w:color="000000"/>
              <w:bottom w:val="single" w:sz="18" w:space="0" w:color="000000"/>
              <w:right w:val="single" w:sz="6" w:space="0" w:color="000000"/>
            </w:tcBorders>
            <w:vAlign w:val="center"/>
          </w:tcPr>
          <w:p w14:paraId="35B1C6A7" w14:textId="77777777" w:rsidR="001B3A32" w:rsidRDefault="003B6332">
            <w:pPr>
              <w:pStyle w:val="ECEappel"/>
            </w:pPr>
            <w:r>
              <w:t>Appeler le professeur pour lui présenter le protocole expérimental</w:t>
            </w:r>
          </w:p>
          <w:p w14:paraId="001ECA51" w14:textId="77777777" w:rsidR="001B3A32" w:rsidRDefault="003B6332">
            <w:pPr>
              <w:pStyle w:val="ECEappel"/>
              <w:rPr>
                <w:bCs/>
                <w:szCs w:val="22"/>
              </w:rPr>
            </w:pPr>
            <w:r>
              <w:t>ou en cas de difficulté</w:t>
            </w:r>
          </w:p>
        </w:tc>
        <w:tc>
          <w:tcPr>
            <w:tcW w:w="1419" w:type="dxa"/>
            <w:tcBorders>
              <w:top w:val="single" w:sz="6" w:space="0" w:color="000000"/>
              <w:left w:val="single" w:sz="6" w:space="0" w:color="000000"/>
              <w:bottom w:val="single" w:sz="18" w:space="0" w:color="000000"/>
              <w:right w:val="single" w:sz="18" w:space="0" w:color="000000"/>
            </w:tcBorders>
            <w:vAlign w:val="center"/>
          </w:tcPr>
          <w:p w14:paraId="38442A24" w14:textId="77777777" w:rsidR="001B3A32" w:rsidRDefault="003B6332">
            <w:pPr>
              <w:jc w:val="center"/>
              <w:rPr>
                <w:bCs/>
                <w:color w:val="auto"/>
                <w:szCs w:val="22"/>
              </w:rPr>
            </w:pPr>
            <w:r>
              <w:rPr>
                <w:rFonts w:ascii="Wingdings" w:eastAsia="Wingdings" w:hAnsi="Wingdings" w:cs="Wingdings"/>
                <w:bCs/>
                <w:color w:val="auto"/>
                <w:sz w:val="96"/>
                <w:szCs w:val="96"/>
              </w:rPr>
              <w:t></w:t>
            </w:r>
          </w:p>
        </w:tc>
      </w:tr>
    </w:tbl>
    <w:p w14:paraId="7C91572B" w14:textId="7CFCC8BB" w:rsidR="001B3A32" w:rsidRDefault="001B3A32">
      <w:pPr>
        <w:pStyle w:val="ECEcorps"/>
      </w:pPr>
    </w:p>
    <w:p w14:paraId="08ADA692" w14:textId="08DBF39A" w:rsidR="00FF457F" w:rsidRDefault="00FF457F">
      <w:pPr>
        <w:pStyle w:val="ECEcorps"/>
      </w:pPr>
    </w:p>
    <w:p w14:paraId="791D1623" w14:textId="5A318698" w:rsidR="00FF457F" w:rsidRDefault="00FF457F">
      <w:pPr>
        <w:pStyle w:val="ECEcorps"/>
      </w:pPr>
    </w:p>
    <w:p w14:paraId="3905678F" w14:textId="77777777" w:rsidR="00B5024D" w:rsidRDefault="00B5024D">
      <w:pPr>
        <w:pStyle w:val="ECEcorps"/>
      </w:pPr>
    </w:p>
    <w:p w14:paraId="6EC9FF55" w14:textId="77777777" w:rsidR="001B3A32" w:rsidRDefault="003B6332">
      <w:pPr>
        <w:pStyle w:val="ECEpartie"/>
        <w:numPr>
          <w:ilvl w:val="0"/>
          <w:numId w:val="7"/>
        </w:numPr>
        <w:rPr>
          <w:b w:val="0"/>
        </w:rPr>
      </w:pPr>
      <w:bookmarkStart w:id="6" w:name="_Toc534722220"/>
      <w:r>
        <w:lastRenderedPageBreak/>
        <w:t>Détermination de la ten</w:t>
      </w:r>
      <w:bookmarkStart w:id="7" w:name="_GoBack"/>
      <w:bookmarkEnd w:id="7"/>
      <w:r>
        <w:t xml:space="preserve">eur en fer dans un vin </w:t>
      </w:r>
      <w:r>
        <w:rPr>
          <w:b w:val="0"/>
        </w:rPr>
        <w:t>(30 minutes conseillées)</w:t>
      </w:r>
      <w:bookmarkEnd w:id="6"/>
    </w:p>
    <w:p w14:paraId="565563AD" w14:textId="77777777" w:rsidR="001B3A32" w:rsidRDefault="001B3A32">
      <w:pPr>
        <w:pStyle w:val="ECEcorps"/>
      </w:pPr>
    </w:p>
    <w:p w14:paraId="72CCF7A2" w14:textId="77AD4897" w:rsidR="001B3A32" w:rsidRDefault="003B6332">
      <w:pPr>
        <w:pStyle w:val="ECEcorps"/>
        <w:numPr>
          <w:ilvl w:val="0"/>
          <w:numId w:val="5"/>
        </w:numPr>
        <w:ind w:left="567"/>
      </w:pPr>
      <w:r>
        <w:t>Vérifier que le spectrophotomètre est réglé sur 465 nm puis l’utiliser pour faire les mesures permettant de tracer la courbe d’étalonnage.</w:t>
      </w:r>
    </w:p>
    <w:p w14:paraId="4DC6CA42" w14:textId="77777777" w:rsidR="004B110E" w:rsidRDefault="004B110E" w:rsidP="004B110E">
      <w:pPr>
        <w:pStyle w:val="ECEcorps"/>
        <w:ind w:left="567"/>
      </w:pPr>
    </w:p>
    <w:p w14:paraId="3C44E4D5" w14:textId="73C67FCF" w:rsidR="001B3A32" w:rsidRDefault="003B6332">
      <w:pPr>
        <w:pStyle w:val="ECEcorps"/>
        <w:numPr>
          <w:ilvl w:val="0"/>
          <w:numId w:val="5"/>
        </w:numPr>
        <w:ind w:left="567"/>
      </w:pPr>
      <w:r>
        <w:t xml:space="preserve">Tracer </w:t>
      </w:r>
      <w:r w:rsidR="00AB2EFF" w:rsidRPr="004B110E">
        <w:t>et modéliser </w:t>
      </w:r>
      <w:r>
        <w:t>une courbe d’étalonnage à l’aide d’un tableur-grapheur.</w:t>
      </w:r>
    </w:p>
    <w:p w14:paraId="3A0B9745" w14:textId="77777777" w:rsidR="001B3A32" w:rsidRDefault="001B3A32">
      <w:pPr>
        <w:pStyle w:val="ECEcorps"/>
      </w:pPr>
    </w:p>
    <w:tbl>
      <w:tblPr>
        <w:tblStyle w:val="Grilledutableau"/>
        <w:tblpPr w:leftFromText="141" w:rightFromText="141" w:vertAnchor="text" w:horzAnchor="margin" w:tblpXSpec="center" w:tblpY="117"/>
        <w:tblW w:w="9640" w:type="dxa"/>
        <w:jc w:val="center"/>
        <w:tblLayout w:type="fixed"/>
        <w:tblCellMar>
          <w:top w:w="57" w:type="dxa"/>
          <w:left w:w="57" w:type="dxa"/>
          <w:bottom w:w="57" w:type="dxa"/>
          <w:right w:w="57" w:type="dxa"/>
        </w:tblCellMar>
        <w:tblLook w:val="04A0" w:firstRow="1" w:lastRow="0" w:firstColumn="1" w:lastColumn="0" w:noHBand="0" w:noVBand="1"/>
      </w:tblPr>
      <w:tblGrid>
        <w:gridCol w:w="1418"/>
        <w:gridCol w:w="6803"/>
        <w:gridCol w:w="1419"/>
      </w:tblGrid>
      <w:tr w:rsidR="001B3A32" w14:paraId="051C0DD4" w14:textId="77777777">
        <w:trPr>
          <w:jc w:val="center"/>
        </w:trPr>
        <w:tc>
          <w:tcPr>
            <w:tcW w:w="1418" w:type="dxa"/>
            <w:tcBorders>
              <w:top w:val="single" w:sz="18" w:space="0" w:color="000000"/>
              <w:left w:val="single" w:sz="18" w:space="0" w:color="000000"/>
              <w:bottom w:val="single" w:sz="6" w:space="0" w:color="000000"/>
              <w:right w:val="nil"/>
            </w:tcBorders>
            <w:shd w:val="clear" w:color="auto" w:fill="D9D9D9"/>
            <w:vAlign w:val="center"/>
          </w:tcPr>
          <w:p w14:paraId="69B70E60" w14:textId="77777777" w:rsidR="001B3A32" w:rsidRDefault="001B3A32">
            <w:pPr>
              <w:jc w:val="center"/>
              <w:rPr>
                <w:bCs/>
                <w:color w:val="auto"/>
                <w:szCs w:val="22"/>
              </w:rPr>
            </w:pPr>
          </w:p>
        </w:tc>
        <w:tc>
          <w:tcPr>
            <w:tcW w:w="6803" w:type="dxa"/>
            <w:tcBorders>
              <w:top w:val="single" w:sz="18" w:space="0" w:color="000000"/>
              <w:left w:val="nil"/>
              <w:bottom w:val="single" w:sz="6" w:space="0" w:color="000000"/>
              <w:right w:val="nil"/>
            </w:tcBorders>
            <w:shd w:val="clear" w:color="auto" w:fill="D9D9D9"/>
            <w:vAlign w:val="center"/>
          </w:tcPr>
          <w:p w14:paraId="2EAF70B0" w14:textId="77777777" w:rsidR="001B3A32" w:rsidRDefault="003B6332">
            <w:pPr>
              <w:pStyle w:val="ECEappel"/>
            </w:pPr>
            <w:r>
              <w:t>APPEL n°2</w:t>
            </w:r>
          </w:p>
        </w:tc>
        <w:tc>
          <w:tcPr>
            <w:tcW w:w="1419" w:type="dxa"/>
            <w:tcBorders>
              <w:top w:val="single" w:sz="18" w:space="0" w:color="000000"/>
              <w:left w:val="nil"/>
              <w:bottom w:val="single" w:sz="6" w:space="0" w:color="000000"/>
              <w:right w:val="single" w:sz="18" w:space="0" w:color="000000"/>
            </w:tcBorders>
            <w:shd w:val="clear" w:color="auto" w:fill="D9D9D9"/>
            <w:vAlign w:val="center"/>
          </w:tcPr>
          <w:p w14:paraId="1B82D46D" w14:textId="77777777" w:rsidR="001B3A32" w:rsidRDefault="001B3A32">
            <w:pPr>
              <w:jc w:val="center"/>
              <w:rPr>
                <w:bCs/>
                <w:color w:val="auto"/>
                <w:szCs w:val="22"/>
              </w:rPr>
            </w:pPr>
          </w:p>
        </w:tc>
      </w:tr>
      <w:tr w:rsidR="001B3A32" w14:paraId="3BDC6067" w14:textId="77777777">
        <w:trPr>
          <w:jc w:val="center"/>
        </w:trPr>
        <w:tc>
          <w:tcPr>
            <w:tcW w:w="1418" w:type="dxa"/>
            <w:tcBorders>
              <w:top w:val="single" w:sz="6" w:space="0" w:color="000000"/>
              <w:left w:val="single" w:sz="18" w:space="0" w:color="000000"/>
              <w:bottom w:val="single" w:sz="18" w:space="0" w:color="000000"/>
              <w:right w:val="single" w:sz="6" w:space="0" w:color="000000"/>
            </w:tcBorders>
            <w:vAlign w:val="center"/>
          </w:tcPr>
          <w:p w14:paraId="204B2248" w14:textId="77777777" w:rsidR="001B3A32" w:rsidRDefault="003B6332">
            <w:pPr>
              <w:jc w:val="center"/>
              <w:rPr>
                <w:bCs/>
                <w:color w:val="auto"/>
                <w:sz w:val="96"/>
                <w:szCs w:val="96"/>
              </w:rPr>
            </w:pPr>
            <w:r>
              <w:rPr>
                <w:rFonts w:ascii="Wingdings" w:eastAsia="Wingdings" w:hAnsi="Wingdings" w:cs="Wingdings"/>
                <w:bCs/>
                <w:color w:val="auto"/>
                <w:sz w:val="96"/>
                <w:szCs w:val="96"/>
              </w:rPr>
              <w:t></w:t>
            </w:r>
          </w:p>
        </w:tc>
        <w:tc>
          <w:tcPr>
            <w:tcW w:w="6803" w:type="dxa"/>
            <w:tcBorders>
              <w:top w:val="single" w:sz="6" w:space="0" w:color="000000"/>
              <w:left w:val="single" w:sz="6" w:space="0" w:color="000000"/>
              <w:bottom w:val="single" w:sz="18" w:space="0" w:color="000000"/>
              <w:right w:val="single" w:sz="6" w:space="0" w:color="000000"/>
            </w:tcBorders>
            <w:vAlign w:val="center"/>
          </w:tcPr>
          <w:p w14:paraId="7D6EFAB2" w14:textId="77777777" w:rsidR="001B3A32" w:rsidRDefault="003B6332">
            <w:pPr>
              <w:pStyle w:val="ECEappel"/>
            </w:pPr>
            <w:r>
              <w:t>Appeler le professeur pour lui présenter la courbe d’étalonnage</w:t>
            </w:r>
          </w:p>
          <w:p w14:paraId="25947700" w14:textId="77777777" w:rsidR="001B3A32" w:rsidRDefault="003B6332">
            <w:pPr>
              <w:pStyle w:val="ECEappel"/>
              <w:rPr>
                <w:bCs/>
                <w:szCs w:val="22"/>
              </w:rPr>
            </w:pPr>
            <w:r>
              <w:t>ou en cas de difficulté</w:t>
            </w:r>
          </w:p>
        </w:tc>
        <w:tc>
          <w:tcPr>
            <w:tcW w:w="1419" w:type="dxa"/>
            <w:tcBorders>
              <w:top w:val="single" w:sz="6" w:space="0" w:color="000000"/>
              <w:left w:val="single" w:sz="6" w:space="0" w:color="000000"/>
              <w:bottom w:val="single" w:sz="18" w:space="0" w:color="000000"/>
              <w:right w:val="single" w:sz="18" w:space="0" w:color="000000"/>
            </w:tcBorders>
            <w:vAlign w:val="center"/>
          </w:tcPr>
          <w:p w14:paraId="4BA60A0D" w14:textId="77777777" w:rsidR="001B3A32" w:rsidRDefault="003B6332">
            <w:pPr>
              <w:jc w:val="center"/>
              <w:rPr>
                <w:bCs/>
                <w:color w:val="auto"/>
                <w:szCs w:val="22"/>
              </w:rPr>
            </w:pPr>
            <w:r>
              <w:rPr>
                <w:rFonts w:ascii="Wingdings" w:eastAsia="Wingdings" w:hAnsi="Wingdings" w:cs="Wingdings"/>
                <w:bCs/>
                <w:color w:val="auto"/>
                <w:sz w:val="96"/>
                <w:szCs w:val="96"/>
              </w:rPr>
              <w:t></w:t>
            </w:r>
          </w:p>
        </w:tc>
      </w:tr>
    </w:tbl>
    <w:p w14:paraId="106B146E" w14:textId="77777777" w:rsidR="001B3A32" w:rsidRDefault="001B3A32">
      <w:pPr>
        <w:pStyle w:val="ECEcorps"/>
      </w:pPr>
    </w:p>
    <w:p w14:paraId="362D963E" w14:textId="05476438" w:rsidR="004B110E" w:rsidRDefault="003B6332" w:rsidP="004B110E">
      <w:pPr>
        <w:pStyle w:val="ECEcorps"/>
        <w:numPr>
          <w:ilvl w:val="0"/>
          <w:numId w:val="5"/>
        </w:numPr>
        <w:ind w:left="567"/>
      </w:pPr>
      <w:r>
        <w:t xml:space="preserve">Préparer la solution de vin en suivant le protocole </w:t>
      </w:r>
      <w:r w:rsidR="00FA6D30">
        <w:t>d</w:t>
      </w:r>
      <w:r w:rsidR="005E00AE">
        <w:t>e l’information</w:t>
      </w:r>
      <w:r>
        <w:t xml:space="preserve"> « évaluation du risque de casse ferrique »</w:t>
      </w:r>
      <w:r w:rsidR="005E00AE">
        <w:t xml:space="preserve"> mise à disposition</w:t>
      </w:r>
      <w:r>
        <w:t xml:space="preserve">. </w:t>
      </w:r>
    </w:p>
    <w:p w14:paraId="00DED543" w14:textId="77777777" w:rsidR="004B110E" w:rsidRDefault="004B110E" w:rsidP="004B110E">
      <w:pPr>
        <w:pStyle w:val="ECEcorps"/>
        <w:ind w:left="567"/>
      </w:pPr>
    </w:p>
    <w:p w14:paraId="2934AE17" w14:textId="77777777" w:rsidR="001B3A32" w:rsidRDefault="003B6332">
      <w:pPr>
        <w:pStyle w:val="ECEcorps"/>
        <w:numPr>
          <w:ilvl w:val="0"/>
          <w:numId w:val="5"/>
        </w:numPr>
        <w:ind w:left="567"/>
      </w:pPr>
      <w:r>
        <w:t>Faire le « blanc » à l’aide de la solution étiquetée « blanc pour le vin ».</w:t>
      </w:r>
    </w:p>
    <w:p w14:paraId="65078198" w14:textId="77777777" w:rsidR="001B3A32" w:rsidRDefault="001B3A32">
      <w:pPr>
        <w:pStyle w:val="ECEcorps"/>
      </w:pPr>
    </w:p>
    <w:p w14:paraId="5D9FF862" w14:textId="2CE62E9A" w:rsidR="004B110E" w:rsidRDefault="003B6332" w:rsidP="004B110E">
      <w:pPr>
        <w:pStyle w:val="ECEcorps"/>
      </w:pPr>
      <w:r>
        <w:t>Mettre en œuvre le protocole proposé pour déterminer la concentration en ions Fe</w:t>
      </w:r>
      <w:r>
        <w:rPr>
          <w:vertAlign w:val="superscript"/>
        </w:rPr>
        <w:t>3+</w:t>
      </w:r>
      <w:r>
        <w:t xml:space="preserve"> dans le vin</w:t>
      </w:r>
      <w:r w:rsidR="004B110E">
        <w:t xml:space="preserve"> et noter la </w:t>
      </w:r>
      <w:r w:rsidR="000C5CD7">
        <w:t>valeur</w:t>
      </w:r>
      <w:r w:rsidR="004B110E">
        <w:t xml:space="preserve"> expérimentale obtenue : </w:t>
      </w:r>
    </w:p>
    <w:p w14:paraId="5EF36101" w14:textId="5A9283F3" w:rsidR="001B3A32" w:rsidRDefault="004B110E" w:rsidP="004B110E">
      <w:pPr>
        <w:pStyle w:val="ECEcorps"/>
        <w:jc w:val="center"/>
      </w:pPr>
      <w:r w:rsidRPr="004B110E">
        <w:t>Concentration en ion Fe</w:t>
      </w:r>
      <w:r w:rsidRPr="004B110E">
        <w:rPr>
          <w:vertAlign w:val="superscript"/>
        </w:rPr>
        <w:t>3+</w:t>
      </w:r>
      <w:r w:rsidRPr="004B110E">
        <w:t xml:space="preserve"> (en mg·L</w:t>
      </w:r>
      <w:r w:rsidRPr="004B110E">
        <w:rPr>
          <w:vertAlign w:val="superscript"/>
        </w:rPr>
        <w:t>-1</w:t>
      </w:r>
      <w:r w:rsidRPr="004B110E">
        <w:t>) </w:t>
      </w:r>
      <w:r>
        <w:t xml:space="preserve">= </w:t>
      </w:r>
      <w:r w:rsidR="003B6332">
        <w:t>……………………</w:t>
      </w:r>
    </w:p>
    <w:p w14:paraId="39DD5508" w14:textId="5D08AABB" w:rsidR="001B3A32" w:rsidRDefault="001B3A32">
      <w:pPr>
        <w:pStyle w:val="ECEcorps"/>
      </w:pPr>
    </w:p>
    <w:p w14:paraId="308AADB0" w14:textId="77777777" w:rsidR="004B110E" w:rsidRDefault="004B110E">
      <w:pPr>
        <w:pStyle w:val="ECEcorps"/>
      </w:pPr>
    </w:p>
    <w:p w14:paraId="7B13DC6F" w14:textId="77777777" w:rsidR="001B3A32" w:rsidRDefault="003B6332">
      <w:pPr>
        <w:pStyle w:val="ECEpartie"/>
        <w:numPr>
          <w:ilvl w:val="0"/>
          <w:numId w:val="7"/>
        </w:numPr>
        <w:rPr>
          <w:b w:val="0"/>
        </w:rPr>
      </w:pPr>
      <w:bookmarkStart w:id="8" w:name="_Toc534722221"/>
      <w:r>
        <w:t xml:space="preserve">Vérification de la qualité du vin </w:t>
      </w:r>
      <w:r>
        <w:rPr>
          <w:b w:val="0"/>
        </w:rPr>
        <w:t>(10 minutes conseillées)</w:t>
      </w:r>
      <w:bookmarkEnd w:id="8"/>
    </w:p>
    <w:p w14:paraId="43FC87EF" w14:textId="77777777" w:rsidR="001B3A32" w:rsidRDefault="001B3A32">
      <w:pPr>
        <w:pStyle w:val="ECEcorps"/>
      </w:pPr>
    </w:p>
    <w:p w14:paraId="49F7AE2C" w14:textId="77777777" w:rsidR="001B3A32" w:rsidRDefault="003B6332">
      <w:pPr>
        <w:pStyle w:val="ECEcorps"/>
      </w:pPr>
      <w:r>
        <w:t>3.1.</w:t>
      </w:r>
      <w:r w:rsidR="00812BF4">
        <w:t xml:space="preserve"> Indiquer, en justifiant, si le vin étudié respecte</w:t>
      </w:r>
      <w:r>
        <w:t xml:space="preserve"> </w:t>
      </w:r>
      <w:bookmarkStart w:id="9" w:name="_Hlk115785754"/>
      <w:r>
        <w:t>les recommandations de l</w:t>
      </w:r>
      <w:r w:rsidR="00812BF4">
        <w:t>’OIV pour sa commercialisation.</w:t>
      </w:r>
    </w:p>
    <w:bookmarkEnd w:id="9"/>
    <w:p w14:paraId="3DE1995D" w14:textId="77777777" w:rsidR="001B3A32" w:rsidRDefault="003B6332">
      <w:pPr>
        <w:pStyle w:val="ECErponse"/>
      </w:pPr>
      <w:r>
        <w:t>…………………………………………………………………………………………………..……….………..………………..</w:t>
      </w:r>
    </w:p>
    <w:p w14:paraId="12C5544A" w14:textId="77777777" w:rsidR="001B3A32" w:rsidRDefault="003B6332">
      <w:pPr>
        <w:pStyle w:val="ECErponse"/>
      </w:pPr>
      <w:r>
        <w:t>…………………………………………………………………………………………………..……….………..………………..</w:t>
      </w:r>
    </w:p>
    <w:p w14:paraId="373F43A5" w14:textId="77777777" w:rsidR="001B3A32" w:rsidRDefault="003B6332">
      <w:pPr>
        <w:pStyle w:val="ECErponse"/>
      </w:pPr>
      <w:r>
        <w:t>…………………………………………………………………………………………………..……….………..………………..</w:t>
      </w:r>
    </w:p>
    <w:p w14:paraId="6DD4D666" w14:textId="77777777" w:rsidR="001B3A32" w:rsidRDefault="003B6332">
      <w:pPr>
        <w:pStyle w:val="ECErponse"/>
      </w:pPr>
      <w:r>
        <w:t>…………………………………………………………………………………………………..……….………..………………..</w:t>
      </w:r>
    </w:p>
    <w:p w14:paraId="678E66F2" w14:textId="77777777" w:rsidR="001B3A32" w:rsidRDefault="001B3A32">
      <w:pPr>
        <w:pStyle w:val="ECEcorps"/>
      </w:pPr>
    </w:p>
    <w:p w14:paraId="5D104F31" w14:textId="34395E13" w:rsidR="001B3A32" w:rsidRDefault="003B6332">
      <w:pPr>
        <w:pStyle w:val="ECEcorps"/>
      </w:pPr>
      <w:r>
        <w:t>3.</w:t>
      </w:r>
      <w:r w:rsidR="00FA6D30">
        <w:t>2</w:t>
      </w:r>
      <w:r>
        <w:t xml:space="preserve">. Le décret n°2009-1307 du 27 octobre 2009 donne le cahier des charges pour la vinification en France : </w:t>
      </w:r>
      <w:r w:rsidRPr="00DF3FD0">
        <w:rPr>
          <w:i/>
        </w:rPr>
        <w:t>« Le matériel de vinification en fer oxydable doit être recouvert d’une couche de protection</w:t>
      </w:r>
      <w:r>
        <w:t>. » Expliquer pourquoi.</w:t>
      </w:r>
    </w:p>
    <w:p w14:paraId="0B1B08A0" w14:textId="77777777" w:rsidR="00FA6D30" w:rsidRDefault="00FA6D30" w:rsidP="00FA6D30">
      <w:pPr>
        <w:pStyle w:val="ECErponse"/>
      </w:pPr>
      <w:r>
        <w:t>…………………………………………………………………………………………………..……….………..………………..</w:t>
      </w:r>
    </w:p>
    <w:p w14:paraId="27269467" w14:textId="77777777" w:rsidR="00FA6D30" w:rsidRDefault="00FA6D30" w:rsidP="00FA6D30">
      <w:pPr>
        <w:pStyle w:val="ECErponse"/>
      </w:pPr>
      <w:r>
        <w:t>…………………………………………………………………………………………………..……….………..………………..</w:t>
      </w:r>
    </w:p>
    <w:p w14:paraId="0E1808B1" w14:textId="77777777" w:rsidR="00FA6D30" w:rsidRDefault="00FA6D30" w:rsidP="00FA6D30">
      <w:pPr>
        <w:pStyle w:val="ECErponse"/>
      </w:pPr>
      <w:r>
        <w:t>…………………………………………………………………………………………………..……….………..………………..</w:t>
      </w:r>
    </w:p>
    <w:p w14:paraId="01ED0AB2" w14:textId="77777777" w:rsidR="001B3A32" w:rsidRDefault="003B6332">
      <w:pPr>
        <w:pStyle w:val="ECErponse"/>
      </w:pPr>
      <w:r>
        <w:t>…………………………………………………………………………………………………..……….………..………………..</w:t>
      </w:r>
    </w:p>
    <w:p w14:paraId="6895E881" w14:textId="77777777" w:rsidR="001B3A32" w:rsidRDefault="001B3A32">
      <w:pPr>
        <w:pStyle w:val="ECEcorps"/>
        <w:rPr>
          <w:b/>
        </w:rPr>
      </w:pPr>
    </w:p>
    <w:p w14:paraId="0FF7745E" w14:textId="77777777" w:rsidR="00FA6D30" w:rsidRDefault="00FA6D30">
      <w:pPr>
        <w:pStyle w:val="ECEcorps"/>
        <w:rPr>
          <w:b/>
        </w:rPr>
      </w:pPr>
      <w:bookmarkStart w:id="10" w:name="_Toc469923078"/>
      <w:bookmarkStart w:id="11" w:name="_Toc266361605"/>
      <w:bookmarkStart w:id="12" w:name="_Toc379291742"/>
    </w:p>
    <w:p w14:paraId="0CA569FD" w14:textId="4B121689" w:rsidR="005E00AE" w:rsidRDefault="003B6332">
      <w:pPr>
        <w:pStyle w:val="ECEcorps"/>
        <w:rPr>
          <w:b/>
        </w:rPr>
      </w:pPr>
      <w:r>
        <w:rPr>
          <w:b/>
        </w:rPr>
        <w:t xml:space="preserve">Défaire le montage et ranger la paillasse avant de quitter la salle. </w:t>
      </w:r>
    </w:p>
    <w:p w14:paraId="651F8B64" w14:textId="77777777" w:rsidR="005E00AE" w:rsidRDefault="005E00AE">
      <w:pPr>
        <w:pStyle w:val="ECEcorps"/>
        <w:rPr>
          <w:b/>
        </w:rPr>
      </w:pPr>
    </w:p>
    <w:p w14:paraId="5A057F51" w14:textId="40DFCF46" w:rsidR="001B3A32" w:rsidRDefault="003B6332">
      <w:pPr>
        <w:pStyle w:val="ECEcorps"/>
        <w:rPr>
          <w:b/>
        </w:rPr>
      </w:pPr>
      <w:r>
        <w:rPr>
          <w:b/>
        </w:rPr>
        <w:t>Les solutions contenant des complexes de thiocyanate sont à verser dans un bidon de récupération mis à disposition.</w:t>
      </w:r>
      <w:bookmarkEnd w:id="10"/>
      <w:bookmarkEnd w:id="11"/>
      <w:bookmarkEnd w:id="12"/>
    </w:p>
    <w:sectPr w:rsidR="001B3A32">
      <w:headerReference w:type="default" r:id="rId10"/>
      <w:footerReference w:type="default" r:id="rId11"/>
      <w:pgSz w:w="11906" w:h="16838"/>
      <w:pgMar w:top="908" w:right="851" w:bottom="851" w:left="851" w:header="851" w:footer="567"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65522" w14:textId="77777777" w:rsidR="00B22F09" w:rsidRDefault="00B22F09">
      <w:pPr>
        <w:spacing w:line="240" w:lineRule="auto"/>
      </w:pPr>
      <w:r>
        <w:separator/>
      </w:r>
    </w:p>
  </w:endnote>
  <w:endnote w:type="continuationSeparator" w:id="0">
    <w:p w14:paraId="3DB9D7E7" w14:textId="77777777" w:rsidR="00B22F09" w:rsidRDefault="00B22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
    <w:altName w:val="Arial Unicode MS"/>
    <w:panose1 w:val="00000000000000000000"/>
    <w:charset w:val="00"/>
    <w:family w:val="roman"/>
    <w:notTrueType/>
    <w:pitch w:val="default"/>
  </w:font>
  <w:font w:name="ArialMT">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CDEC" w14:textId="23ABCC22" w:rsidR="001B3A32" w:rsidRDefault="003B6332">
    <w:pPr>
      <w:pStyle w:val="ECEcorps"/>
      <w:jc w:val="right"/>
    </w:pPr>
    <w:r>
      <w:t xml:space="preserve">Page </w:t>
    </w:r>
    <w:r>
      <w:fldChar w:fldCharType="begin"/>
    </w:r>
    <w:r>
      <w:instrText>PAGE</w:instrText>
    </w:r>
    <w:r>
      <w:fldChar w:fldCharType="separate"/>
    </w:r>
    <w:r w:rsidR="00B5024D">
      <w:rPr>
        <w:noProof/>
      </w:rPr>
      <w:t>4</w:t>
    </w:r>
    <w:r>
      <w:fldChar w:fldCharType="end"/>
    </w:r>
    <w:r>
      <w:t xml:space="preserve"> sur </w:t>
    </w:r>
    <w:r>
      <w:fldChar w:fldCharType="begin"/>
    </w:r>
    <w:r>
      <w:instrText>NUMPAGES</w:instrText>
    </w:r>
    <w:r>
      <w:fldChar w:fldCharType="separate"/>
    </w:r>
    <w:r w:rsidR="00B5024D">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4E38A" w14:textId="77777777" w:rsidR="00B22F09" w:rsidRDefault="00B22F09">
      <w:pPr>
        <w:spacing w:line="240" w:lineRule="auto"/>
      </w:pPr>
      <w:r>
        <w:separator/>
      </w:r>
    </w:p>
  </w:footnote>
  <w:footnote w:type="continuationSeparator" w:id="0">
    <w:p w14:paraId="56032E14" w14:textId="77777777" w:rsidR="00B22F09" w:rsidRDefault="00B22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DE3A" w14:textId="77777777" w:rsidR="001B3A32" w:rsidRDefault="003B6332">
    <w:pPr>
      <w:pStyle w:val="ECEcorps"/>
      <w:tabs>
        <w:tab w:val="center" w:pos="851"/>
        <w:tab w:val="center" w:pos="5103"/>
        <w:tab w:val="center" w:pos="9498"/>
      </w:tabs>
    </w:pPr>
    <w:r>
      <w:tab/>
      <w:t> </w:t>
    </w:r>
    <w:r>
      <w:tab/>
    </w:r>
    <w:r>
      <w:rPr>
        <w:b/>
        <w:sz w:val="24"/>
        <w:szCs w:val="24"/>
      </w:rPr>
      <w:t>CASSE FERRIQUE</w:t>
    </w:r>
    <w:r>
      <w:tab/>
      <w:t>Session</w:t>
    </w:r>
  </w:p>
  <w:p w14:paraId="1D6B0F92" w14:textId="75F8B61D" w:rsidR="001B3A32" w:rsidRDefault="008B184B">
    <w:pPr>
      <w:pStyle w:val="ECEcorps"/>
      <w:tabs>
        <w:tab w:val="center" w:pos="851"/>
        <w:tab w:val="center" w:pos="5103"/>
        <w:tab w:val="center" w:pos="9498"/>
      </w:tabs>
    </w:pPr>
    <w:r>
      <w:tab/>
    </w:r>
    <w:r>
      <w:tab/>
    </w:r>
    <w:r>
      <w:tab/>
      <w:t>202</w:t>
    </w:r>
    <w:r w:rsidR="006F7D6C">
      <w:t>3</w:t>
    </w:r>
  </w:p>
  <w:p w14:paraId="2F4105DE" w14:textId="77777777" w:rsidR="001B3A32" w:rsidRDefault="001B3A32">
    <w:pPr>
      <w:pStyle w:val="ECEcorps"/>
      <w:tabs>
        <w:tab w:val="center" w:pos="851"/>
        <w:tab w:val="center" w:pos="5103"/>
        <w:tab w:val="center" w:pos="949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5DB9"/>
    <w:multiLevelType w:val="multilevel"/>
    <w:tmpl w:val="83C6E8F4"/>
    <w:lvl w:ilvl="0">
      <w:start w:val="4"/>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B5116DA"/>
    <w:multiLevelType w:val="multilevel"/>
    <w:tmpl w:val="CE8092C2"/>
    <w:lvl w:ilvl="0">
      <w:start w:val="1"/>
      <w:numFmt w:val="bullet"/>
      <w:pStyle w:val="ECEpuce1"/>
      <w:lvlText w:val=""/>
      <w:lvlJc w:val="left"/>
      <w:pPr>
        <w:tabs>
          <w:tab w:val="num" w:pos="0"/>
        </w:tabs>
        <w:ind w:left="1068" w:hanging="360"/>
      </w:pPr>
      <w:rPr>
        <w:rFonts w:ascii="Symbol" w:hAnsi="Symbol" w:cs="Symbol" w:hint="default"/>
      </w:rPr>
    </w:lvl>
    <w:lvl w:ilvl="1">
      <w:start w:val="1"/>
      <w:numFmt w:val="bullet"/>
      <w:lvlText w:val="o"/>
      <w:lvlJc w:val="left"/>
      <w:pPr>
        <w:tabs>
          <w:tab w:val="num" w:pos="1068"/>
        </w:tabs>
        <w:ind w:left="1068" w:hanging="360"/>
      </w:pPr>
      <w:rPr>
        <w:rFonts w:ascii="Courier New" w:hAnsi="Courier New" w:cs="Courier New" w:hint="default"/>
      </w:rPr>
    </w:lvl>
    <w:lvl w:ilvl="2">
      <w:start w:val="1"/>
      <w:numFmt w:val="bullet"/>
      <w:lvlText w:val="o"/>
      <w:lvlJc w:val="left"/>
      <w:pPr>
        <w:tabs>
          <w:tab w:val="num" w:pos="0"/>
        </w:tabs>
        <w:ind w:left="1788" w:hanging="360"/>
      </w:pPr>
      <w:rPr>
        <w:rFonts w:ascii="Courier New" w:hAnsi="Courier New" w:cs="Courier New"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o"/>
      <w:lvlJc w:val="left"/>
      <w:pPr>
        <w:tabs>
          <w:tab w:val="num" w:pos="3228"/>
        </w:tabs>
        <w:ind w:left="3228" w:hanging="360"/>
      </w:pPr>
      <w:rPr>
        <w:rFonts w:ascii="Courier New" w:hAnsi="Courier New" w:cs="Courier New" w:hint="default"/>
      </w:rPr>
    </w:lvl>
    <w:lvl w:ilvl="5">
      <w:start w:val="1"/>
      <w:numFmt w:val="bullet"/>
      <w:lvlText w:val=""/>
      <w:lvlJc w:val="left"/>
      <w:pPr>
        <w:tabs>
          <w:tab w:val="num" w:pos="3948"/>
        </w:tabs>
        <w:ind w:left="3948" w:hanging="360"/>
      </w:pPr>
      <w:rPr>
        <w:rFonts w:ascii="Wingdings" w:hAnsi="Wingdings" w:cs="Wingdings" w:hint="default"/>
      </w:rPr>
    </w:lvl>
    <w:lvl w:ilvl="6">
      <w:start w:val="1"/>
      <w:numFmt w:val="bullet"/>
      <w:lvlText w:val=""/>
      <w:lvlJc w:val="left"/>
      <w:pPr>
        <w:tabs>
          <w:tab w:val="num" w:pos="4668"/>
        </w:tabs>
        <w:ind w:left="4668" w:hanging="360"/>
      </w:pPr>
      <w:rPr>
        <w:rFonts w:ascii="Symbol" w:hAnsi="Symbol" w:cs="Symbol" w:hint="default"/>
      </w:rPr>
    </w:lvl>
    <w:lvl w:ilvl="7">
      <w:start w:val="1"/>
      <w:numFmt w:val="bullet"/>
      <w:lvlText w:val="o"/>
      <w:lvlJc w:val="left"/>
      <w:pPr>
        <w:tabs>
          <w:tab w:val="num" w:pos="5388"/>
        </w:tabs>
        <w:ind w:left="5388" w:hanging="360"/>
      </w:pPr>
      <w:rPr>
        <w:rFonts w:ascii="Courier New" w:hAnsi="Courier New" w:cs="Courier New" w:hint="default"/>
      </w:rPr>
    </w:lvl>
    <w:lvl w:ilvl="8">
      <w:start w:val="1"/>
      <w:numFmt w:val="bullet"/>
      <w:lvlText w:val=""/>
      <w:lvlJc w:val="left"/>
      <w:pPr>
        <w:tabs>
          <w:tab w:val="num" w:pos="6108"/>
        </w:tabs>
        <w:ind w:left="6108" w:hanging="360"/>
      </w:pPr>
      <w:rPr>
        <w:rFonts w:ascii="Wingdings" w:hAnsi="Wingdings" w:cs="Wingdings" w:hint="default"/>
      </w:rPr>
    </w:lvl>
  </w:abstractNum>
  <w:abstractNum w:abstractNumId="2" w15:restartNumberingAfterBreak="0">
    <w:nsid w:val="3CAA0738"/>
    <w:multiLevelType w:val="hybridMultilevel"/>
    <w:tmpl w:val="1E842B8E"/>
    <w:lvl w:ilvl="0" w:tplc="040C0001">
      <w:start w:val="1"/>
      <w:numFmt w:val="bullet"/>
      <w:lvlText w:val=""/>
      <w:lvlJc w:val="left"/>
      <w:pPr>
        <w:ind w:left="1141" w:hanging="360"/>
      </w:pPr>
      <w:rPr>
        <w:rFonts w:ascii="Symbol" w:hAnsi="Symbol" w:hint="default"/>
      </w:rPr>
    </w:lvl>
    <w:lvl w:ilvl="1" w:tplc="040C0003" w:tentative="1">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3" w15:restartNumberingAfterBreak="0">
    <w:nsid w:val="3E7E36BC"/>
    <w:multiLevelType w:val="hybridMultilevel"/>
    <w:tmpl w:val="8B4C4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8D24FE"/>
    <w:multiLevelType w:val="hybridMultilevel"/>
    <w:tmpl w:val="5C68959C"/>
    <w:lvl w:ilvl="0" w:tplc="0FFEC0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E40C24"/>
    <w:multiLevelType w:val="multilevel"/>
    <w:tmpl w:val="D520EE90"/>
    <w:lvl w:ilvl="0">
      <w:start w:val="1"/>
      <w:numFmt w:val="decimal"/>
      <w:pStyle w:val="ECEpartie"/>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5B411279"/>
    <w:multiLevelType w:val="multilevel"/>
    <w:tmpl w:val="D4543810"/>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6694099B"/>
    <w:multiLevelType w:val="multilevel"/>
    <w:tmpl w:val="69FA2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C8577B6"/>
    <w:multiLevelType w:val="multilevel"/>
    <w:tmpl w:val="AA26FA7E"/>
    <w:lvl w:ilvl="0">
      <w:start w:val="1"/>
      <w:numFmt w:val="upperRoman"/>
      <w:pStyle w:val="Titre1"/>
      <w:suff w:val="space"/>
      <w:lvlText w:val="%1."/>
      <w:lvlJc w:val="center"/>
      <w:pPr>
        <w:tabs>
          <w:tab w:val="num" w:pos="0"/>
        </w:tabs>
        <w:ind w:left="0" w:firstLine="0"/>
      </w:pPr>
    </w:lvl>
    <w:lvl w:ilvl="1">
      <w:start w:val="1"/>
      <w:numFmt w:val="decimal"/>
      <w:pStyle w:val="Titre2"/>
      <w:suff w:val="space"/>
      <w:lvlText w:val="%2."/>
      <w:lvlJc w:val="left"/>
      <w:pPr>
        <w:tabs>
          <w:tab w:val="num" w:pos="0"/>
        </w:tabs>
        <w:ind w:left="567" w:hanging="567"/>
      </w:pPr>
    </w:lvl>
    <w:lvl w:ilvl="2">
      <w:start w:val="1"/>
      <w:numFmt w:val="decimal"/>
      <w:pStyle w:val="Titre3"/>
      <w:suff w:val="space"/>
      <w:lvlText w:val="%2.%3."/>
      <w:lvlJc w:val="left"/>
      <w:pPr>
        <w:tabs>
          <w:tab w:val="num" w:pos="0"/>
        </w:tabs>
        <w:ind w:left="1418" w:hanging="850"/>
      </w:pPr>
    </w:lvl>
    <w:lvl w:ilvl="3">
      <w:start w:val="1"/>
      <w:numFmt w:val="decimal"/>
      <w:pStyle w:val="Titre4"/>
      <w:suff w:val="space"/>
      <w:lvlText w:val="%2.%3.%4."/>
      <w:lvlJc w:val="left"/>
      <w:pPr>
        <w:tabs>
          <w:tab w:val="num" w:pos="0"/>
        </w:tabs>
        <w:ind w:left="2211" w:hanging="1131"/>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1"/>
  </w:num>
  <w:num w:numId="3">
    <w:abstractNumId w:val="5"/>
  </w:num>
  <w:num w:numId="4">
    <w:abstractNumId w:val="6"/>
  </w:num>
  <w:num w:numId="5">
    <w:abstractNumId w:val="0"/>
  </w:num>
  <w:num w:numId="6">
    <w:abstractNumId w:val="6"/>
    <w:lvlOverride w:ilvl="0">
      <w:startOverride w:val="1"/>
    </w:lvlOverride>
  </w:num>
  <w:num w:numId="7">
    <w:abstractNumId w:val="6"/>
  </w:num>
  <w:num w:numId="8">
    <w:abstractNumId w:val="7"/>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32"/>
    <w:rsid w:val="000C5CD7"/>
    <w:rsid w:val="001B3A32"/>
    <w:rsid w:val="001D3429"/>
    <w:rsid w:val="003B6332"/>
    <w:rsid w:val="00400733"/>
    <w:rsid w:val="004857E6"/>
    <w:rsid w:val="004B110E"/>
    <w:rsid w:val="005E00AE"/>
    <w:rsid w:val="006F7D6C"/>
    <w:rsid w:val="00812BF4"/>
    <w:rsid w:val="008B184B"/>
    <w:rsid w:val="00911D36"/>
    <w:rsid w:val="00AB2EFF"/>
    <w:rsid w:val="00B22F09"/>
    <w:rsid w:val="00B5024D"/>
    <w:rsid w:val="00B748EB"/>
    <w:rsid w:val="00D67103"/>
    <w:rsid w:val="00DC58B9"/>
    <w:rsid w:val="00DD6058"/>
    <w:rsid w:val="00DF3FD0"/>
    <w:rsid w:val="00E070FA"/>
    <w:rsid w:val="00E95C99"/>
    <w:rsid w:val="00F45A25"/>
    <w:rsid w:val="00FA6D30"/>
    <w:rsid w:val="00FF2296"/>
    <w:rsid w:val="00FF457F"/>
    <w:rsid w:val="00FF698F"/>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DE40"/>
  <w15:docId w15:val="{D2DAFCCA-AA3B-4AC0-AAB9-58DDCF7C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qFormat/>
    <w:rsid w:val="00D9409B"/>
    <w:pPr>
      <w:numPr>
        <w:numId w:val="1"/>
      </w:numPr>
      <w:pBdr>
        <w:top w:val="single" w:sz="12" w:space="1" w:color="000000"/>
        <w:left w:val="single" w:sz="12" w:space="1" w:color="000000"/>
        <w:bottom w:val="single" w:sz="12" w:space="1" w:color="000000"/>
        <w:right w:val="single" w:sz="12" w:space="1" w:color="000000"/>
      </w:pBdr>
      <w:shd w:val="pct15" w:color="auto" w:fill="FFFFFF"/>
      <w:tabs>
        <w:tab w:val="left" w:pos="-1985"/>
        <w:tab w:val="left" w:pos="567"/>
      </w:tabs>
      <w:jc w:val="center"/>
      <w:outlineLvl w:val="0"/>
    </w:pPr>
    <w:rPr>
      <w:b/>
      <w:bCs/>
    </w:rPr>
  </w:style>
  <w:style w:type="paragraph" w:styleId="Titre2">
    <w:name w:val="heading 2"/>
    <w:basedOn w:val="Normal"/>
    <w:next w:val="Normal"/>
    <w:link w:val="Titre2Car"/>
    <w:qFormat/>
    <w:rsid w:val="00207C64"/>
    <w:pPr>
      <w:keepNext/>
      <w:numPr>
        <w:ilvl w:val="1"/>
        <w:numId w:val="1"/>
      </w:numPr>
      <w:outlineLvl w:val="1"/>
    </w:pPr>
    <w:rPr>
      <w:b/>
    </w:rPr>
  </w:style>
  <w:style w:type="paragraph" w:styleId="Titre3">
    <w:name w:val="heading 3"/>
    <w:basedOn w:val="Normal"/>
    <w:next w:val="Titre4"/>
    <w:qFormat/>
    <w:rsid w:val="00125FB0"/>
    <w:pPr>
      <w:keepNext/>
      <w:numPr>
        <w:ilvl w:val="2"/>
        <w:numId w:val="1"/>
      </w:numPr>
      <w:outlineLvl w:val="2"/>
    </w:pPr>
  </w:style>
  <w:style w:type="paragraph" w:styleId="Titre4">
    <w:name w:val="heading 4"/>
    <w:basedOn w:val="Normal"/>
    <w:next w:val="Normal"/>
    <w:autoRedefine/>
    <w:qFormat/>
    <w:rsid w:val="00354EBD"/>
    <w:pPr>
      <w:numPr>
        <w:ilvl w:val="3"/>
        <w:numId w:val="1"/>
      </w:numPr>
      <w:outlineLvl w:val="3"/>
    </w:pPr>
  </w:style>
  <w:style w:type="paragraph" w:styleId="Titre5">
    <w:name w:val="heading 5"/>
    <w:basedOn w:val="Normal"/>
    <w:next w:val="Normal"/>
    <w:qFormat/>
    <w:rsid w:val="001D6C11"/>
    <w:pPr>
      <w:keepNext/>
      <w:tabs>
        <w:tab w:val="left" w:pos="-1985"/>
      </w:tabs>
      <w:outlineLvl w:val="4"/>
    </w:pPr>
    <w:rPr>
      <w:rFonts w:ascii="Garamond" w:hAnsi="Garamond"/>
      <w:b/>
      <w:bCs/>
    </w:rPr>
  </w:style>
  <w:style w:type="paragraph" w:styleId="Titre6">
    <w:name w:val="heading 6"/>
    <w:basedOn w:val="Normal"/>
    <w:next w:val="Normal"/>
    <w:qFormat/>
    <w:rsid w:val="001D6C11"/>
    <w:pPr>
      <w:keepNext/>
      <w:ind w:right="-2472"/>
      <w:outlineLvl w:val="5"/>
    </w:pPr>
    <w:rPr>
      <w:i/>
      <w:color w:val="FF0000"/>
    </w:rPr>
  </w:style>
  <w:style w:type="paragraph" w:styleId="Titre7">
    <w:name w:val="heading 7"/>
    <w:basedOn w:val="Normal"/>
    <w:next w:val="Normal"/>
    <w:qFormat/>
    <w:rsid w:val="001D6C11"/>
    <w:pPr>
      <w:keepNext/>
      <w:tabs>
        <w:tab w:val="left" w:pos="-1985"/>
      </w:tabs>
      <w:jc w:val="center"/>
      <w:outlineLvl w:val="6"/>
    </w:pPr>
    <w:rPr>
      <w:b/>
      <w:bCs/>
      <w:sz w:val="28"/>
      <w:szCs w:val="28"/>
    </w:rPr>
  </w:style>
  <w:style w:type="paragraph" w:styleId="Titre8">
    <w:name w:val="heading 8"/>
    <w:basedOn w:val="Normal"/>
    <w:next w:val="Normal"/>
    <w:qFormat/>
    <w:rsid w:val="001D6C11"/>
    <w:pPr>
      <w:keepNext/>
      <w:tabs>
        <w:tab w:val="left" w:pos="-1985"/>
      </w:tabs>
      <w:ind w:left="-567" w:right="-483"/>
      <w:outlineLvl w:val="7"/>
    </w:pPr>
    <w:rPr>
      <w:b/>
      <w:bCs/>
      <w:sz w:val="28"/>
      <w:szCs w:val="28"/>
    </w:rPr>
  </w:style>
  <w:style w:type="paragraph" w:styleId="Titre9">
    <w:name w:val="heading 9"/>
    <w:basedOn w:val="Normal"/>
    <w:next w:val="Normal"/>
    <w:qFormat/>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qFormat/>
    <w:rsid w:val="001D6C11"/>
    <w:rPr>
      <w:sz w:val="16"/>
      <w:szCs w:val="16"/>
    </w:rPr>
  </w:style>
  <w:style w:type="character" w:customStyle="1" w:styleId="Titre2Car">
    <w:name w:val="Titre 2 Car"/>
    <w:link w:val="Titre2"/>
    <w:qFormat/>
    <w:rsid w:val="00BF76AC"/>
    <w:rPr>
      <w:rFonts w:ascii="Arial" w:hAnsi="Arial" w:cs="Arial"/>
      <w:b/>
      <w:color w:val="000000"/>
    </w:rPr>
  </w:style>
  <w:style w:type="character" w:styleId="lev">
    <w:name w:val="Strong"/>
    <w:basedOn w:val="Policepardfaut"/>
    <w:uiPriority w:val="22"/>
    <w:qFormat/>
    <w:rsid w:val="00E10C49"/>
    <w:rPr>
      <w:b/>
      <w:bCs/>
    </w:rPr>
  </w:style>
  <w:style w:type="character" w:customStyle="1" w:styleId="ilad">
    <w:name w:val="il_ad"/>
    <w:basedOn w:val="Policepardfaut"/>
    <w:qFormat/>
    <w:rsid w:val="00FE37DE"/>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next w:val="Normal"/>
    <w:uiPriority w:val="35"/>
    <w:unhideWhenUsed/>
    <w:qFormat/>
    <w:rsid w:val="009A150C"/>
    <w:pPr>
      <w:spacing w:after="200" w:line="240" w:lineRule="auto"/>
    </w:pPr>
    <w:rPr>
      <w:i/>
      <w:iCs/>
      <w:color w:val="1F497D" w:themeColor="text2"/>
      <w:sz w:val="18"/>
      <w:szCs w:val="18"/>
    </w:rPr>
  </w:style>
  <w:style w:type="paragraph" w:customStyle="1" w:styleId="Index">
    <w:name w:val="Index"/>
    <w:basedOn w:val="Normal"/>
    <w:qFormat/>
    <w:pPr>
      <w:suppressLineNumbers/>
    </w:pPr>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jc w:val="center"/>
    </w:pPr>
    <w:rPr>
      <w:rFonts w:eastAsia="Arial Unicode MS"/>
      <w:b/>
    </w:rPr>
  </w:style>
  <w:style w:type="paragraph" w:styleId="Retraitnormal">
    <w:name w:val="Normal Indent"/>
    <w:basedOn w:val="Normal"/>
    <w:qFormat/>
    <w:rsid w:val="001D6C11"/>
    <w:pPr>
      <w:tabs>
        <w:tab w:val="left" w:pos="-1985"/>
      </w:tabs>
      <w:ind w:left="708"/>
    </w:pPr>
  </w:style>
  <w:style w:type="paragraph" w:customStyle="1" w:styleId="En-tteetpieddepage">
    <w:name w:val="En-tête et pied de page"/>
    <w:basedOn w:val="Normal"/>
    <w:qFormat/>
  </w:style>
  <w:style w:type="paragraph" w:styleId="Pieddepage">
    <w:name w:val="footer"/>
    <w:basedOn w:val="Normal"/>
    <w:rsid w:val="001D6C11"/>
    <w:pPr>
      <w:tabs>
        <w:tab w:val="left" w:pos="-1985"/>
        <w:tab w:val="center" w:pos="4536"/>
        <w:tab w:val="right" w:pos="9072"/>
      </w:tabs>
    </w:pPr>
    <w:rPr>
      <w:sz w:val="22"/>
      <w:szCs w:val="22"/>
    </w:rPr>
  </w:style>
  <w:style w:type="paragraph" w:customStyle="1" w:styleId="remarque">
    <w:name w:val="remarque"/>
    <w:basedOn w:val="Normal"/>
    <w:qFormat/>
    <w:rsid w:val="001D6C11"/>
    <w:pPr>
      <w:tabs>
        <w:tab w:val="left" w:pos="-1985"/>
      </w:tabs>
    </w:pPr>
    <w:rPr>
      <w:b/>
      <w:bCs/>
    </w:rPr>
  </w:style>
  <w:style w:type="paragraph" w:styleId="Retraitcorpsdetexte">
    <w:name w:val="Body Text Indent"/>
    <w:basedOn w:val="Normal"/>
    <w:rsid w:val="001D6C11"/>
    <w:pPr>
      <w:tabs>
        <w:tab w:val="left" w:pos="-1985"/>
      </w:tabs>
      <w:ind w:firstLine="426"/>
    </w:pPr>
    <w:rPr>
      <w:sz w:val="22"/>
      <w:szCs w:val="22"/>
    </w:rPr>
  </w:style>
  <w:style w:type="paragraph" w:styleId="En-tte">
    <w:name w:val="header"/>
    <w:basedOn w:val="Normal"/>
    <w:rsid w:val="001D6C11"/>
    <w:pPr>
      <w:tabs>
        <w:tab w:val="left" w:pos="-1985"/>
        <w:tab w:val="center" w:pos="4536"/>
        <w:tab w:val="right" w:pos="9072"/>
      </w:tabs>
    </w:pPr>
  </w:style>
  <w:style w:type="paragraph" w:styleId="Notedebasdepage">
    <w:name w:val="footnote text"/>
    <w:basedOn w:val="Normal"/>
    <w:semiHidden/>
    <w:rsid w:val="001D6C11"/>
  </w:style>
  <w:style w:type="paragraph" w:styleId="Sous-titre">
    <w:name w:val="Subtitle"/>
    <w:basedOn w:val="Normal"/>
    <w:qFormat/>
    <w:rsid w:val="001D6C11"/>
    <w:pPr>
      <w:jc w:val="center"/>
    </w:pPr>
    <w:rPr>
      <w:b/>
      <w:i/>
      <w:sz w:val="28"/>
    </w:rPr>
  </w:style>
  <w:style w:type="paragraph" w:styleId="Commentaire">
    <w:name w:val="annotation text"/>
    <w:basedOn w:val="Normal"/>
    <w:semiHidden/>
    <w:qFormat/>
    <w:rsid w:val="001D6C11"/>
  </w:style>
  <w:style w:type="paragraph" w:styleId="Objetducommentaire">
    <w:name w:val="annotation subject"/>
    <w:basedOn w:val="Commentaire"/>
    <w:next w:val="Commentaire"/>
    <w:semiHidden/>
    <w:qFormat/>
    <w:rsid w:val="001D6C11"/>
    <w:rPr>
      <w:b/>
      <w:bCs/>
    </w:rPr>
  </w:style>
  <w:style w:type="paragraph" w:styleId="Textedebulles">
    <w:name w:val="Balloon Text"/>
    <w:basedOn w:val="Normal"/>
    <w:qFormat/>
    <w:rsid w:val="001D6C11"/>
    <w:rPr>
      <w:rFonts w:ascii="Tahoma" w:hAnsi="Tahoma" w:cs="Tahoma"/>
      <w:sz w:val="16"/>
      <w:szCs w:val="16"/>
    </w:rPr>
  </w:style>
  <w:style w:type="paragraph" w:styleId="TM1">
    <w:name w:val="toc 1"/>
    <w:basedOn w:val="ECEcorps"/>
    <w:next w:val="Normal"/>
    <w:uiPriority w:val="39"/>
    <w:qFormat/>
    <w:rsid w:val="00CA6FD0"/>
    <w:pPr>
      <w:tabs>
        <w:tab w:val="left" w:pos="284"/>
        <w:tab w:val="right" w:leader="dot" w:pos="9628"/>
      </w:tabs>
    </w:pPr>
  </w:style>
  <w:style w:type="paragraph" w:styleId="TM2">
    <w:name w:val="toc 2"/>
    <w:basedOn w:val="Normal"/>
    <w:next w:val="Normal"/>
    <w:uiPriority w:val="39"/>
    <w:unhideWhenUsed/>
    <w:qFormat/>
    <w:rsid w:val="00910B6F"/>
    <w:pPr>
      <w:tabs>
        <w:tab w:val="right" w:leader="dot" w:pos="9628"/>
      </w:tabs>
      <w:spacing w:after="100" w:line="276" w:lineRule="auto"/>
      <w:ind w:left="221"/>
    </w:pPr>
    <w:rPr>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qFormat/>
    <w:rsid w:val="00B97EB7"/>
    <w:pPr>
      <w:shd w:val="clear" w:color="auto" w:fill="EEECE1"/>
      <w:jc w:val="center"/>
    </w:pPr>
    <w:rPr>
      <w:rFonts w:cs="Times New Roman"/>
      <w:b/>
      <w:bCs/>
    </w:rPr>
  </w:style>
  <w:style w:type="paragraph" w:customStyle="1" w:styleId="Default">
    <w:name w:val="Default"/>
    <w:uiPriority w:val="99"/>
    <w:qFormat/>
    <w:rsid w:val="00BF76AC"/>
    <w:rPr>
      <w:rFonts w:ascii="Calibri" w:eastAsia="MS ??" w:hAnsi="Calibri" w:cs="Calibri"/>
      <w:color w:val="000000"/>
      <w:sz w:val="24"/>
      <w:szCs w:val="24"/>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rPr>
      <w:b/>
      <w:u w:val="single"/>
    </w:rPr>
  </w:style>
  <w:style w:type="paragraph" w:customStyle="1" w:styleId="ECEfiche">
    <w:name w:val="ECEfiche"/>
    <w:basedOn w:val="Titre1"/>
    <w:next w:val="ECEcorps"/>
    <w:qFormat/>
    <w:rsid w:val="00A12834"/>
    <w:pPr>
      <w:numPr>
        <w:numId w:val="0"/>
      </w:numPr>
      <w:shd w:val="clear" w:color="auto" w:fill="D8D8D8"/>
    </w:pPr>
    <w:rPr>
      <w:b w:val="0"/>
    </w:rPr>
  </w:style>
  <w:style w:type="paragraph" w:customStyle="1" w:styleId="ECErponse">
    <w:name w:val="ECEréponse"/>
    <w:basedOn w:val="ECEcorps"/>
    <w:qFormat/>
    <w:rsid w:val="00C22A4C"/>
    <w:pPr>
      <w:spacing w:before="240" w:line="240" w:lineRule="auto"/>
    </w:pPr>
    <w:rPr>
      <w:bCs/>
      <w:szCs w:val="22"/>
    </w:rPr>
  </w:style>
  <w:style w:type="paragraph" w:customStyle="1" w:styleId="ECEpartie">
    <w:name w:val="ECEpartie"/>
    <w:basedOn w:val="ECEcorps"/>
    <w:next w:val="ECEcorps"/>
    <w:qFormat/>
    <w:rsid w:val="00452138"/>
    <w:pPr>
      <w:numPr>
        <w:numId w:val="3"/>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000000"/>
        <w:left w:val="single" w:sz="12" w:space="4" w:color="000000"/>
        <w:bottom w:val="single" w:sz="12" w:space="1" w:color="000000"/>
        <w:right w:val="single" w:sz="12" w:space="4" w:color="000000"/>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tabs>
        <w:tab w:val="num" w:pos="0"/>
      </w:tabs>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paragraph" w:customStyle="1" w:styleId="Contenudecadre">
    <w:name w:val="Contenu de cadre"/>
    <w:basedOn w:val="Normal"/>
    <w:qFormat/>
  </w:style>
  <w:style w:type="table" w:styleId="Grilledutableau">
    <w:name w:val="Table Grid"/>
    <w:basedOn w:val="TableauNormal"/>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rsid w:val="00400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4D4E-C46E-4AF2-83D0-0A4FC07F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1220</Words>
  <Characters>6711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ECE</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dc:subject/>
  <dc:description/>
  <cp:revision>22</cp:revision>
  <cp:lastPrinted>2014-07-07T13:51:00Z</cp:lastPrinted>
  <dcterms:created xsi:type="dcterms:W3CDTF">2020-04-07T14:26:00Z</dcterms:created>
  <dcterms:modified xsi:type="dcterms:W3CDTF">2022-12-08T10:12:00Z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Rectorat de Versailles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