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AEFA1" w14:textId="77777777" w:rsidR="009955E3" w:rsidRDefault="001E16C2">
      <w:pPr>
        <w:pStyle w:val="ECEbordure"/>
        <w:jc w:val="center"/>
        <w:rPr>
          <w:b/>
          <w:sz w:val="24"/>
          <w:szCs w:val="24"/>
        </w:rPr>
      </w:pPr>
      <w:bookmarkStart w:id="0" w:name="_GoBack"/>
      <w:bookmarkEnd w:id="0"/>
      <w:r>
        <w:rPr>
          <w:b/>
          <w:sz w:val="24"/>
          <w:szCs w:val="24"/>
        </w:rPr>
        <w:t>BACCALAURÉAT G</w:t>
      </w:r>
      <w:r>
        <w:rPr>
          <w:rFonts w:eastAsia="Arial Unicode MS"/>
          <w:b/>
          <w:sz w:val="24"/>
          <w:szCs w:val="24"/>
        </w:rPr>
        <w:t>É</w:t>
      </w:r>
      <w:r>
        <w:rPr>
          <w:b/>
          <w:sz w:val="24"/>
          <w:szCs w:val="24"/>
        </w:rPr>
        <w:t>N</w:t>
      </w:r>
      <w:r>
        <w:rPr>
          <w:rFonts w:eastAsia="Arial Unicode MS"/>
          <w:b/>
          <w:sz w:val="24"/>
          <w:szCs w:val="24"/>
        </w:rPr>
        <w:t>É</w:t>
      </w:r>
      <w:r>
        <w:rPr>
          <w:b/>
          <w:sz w:val="24"/>
          <w:szCs w:val="24"/>
        </w:rPr>
        <w:t>RAL</w:t>
      </w:r>
    </w:p>
    <w:p w14:paraId="17E7B92D" w14:textId="77777777" w:rsidR="009955E3" w:rsidRDefault="009955E3">
      <w:pPr>
        <w:pStyle w:val="ECEbordure"/>
        <w:jc w:val="center"/>
        <w:rPr>
          <w:b/>
          <w:sz w:val="24"/>
          <w:szCs w:val="24"/>
        </w:rPr>
      </w:pPr>
    </w:p>
    <w:p w14:paraId="2FB7A3FA" w14:textId="77777777" w:rsidR="009955E3" w:rsidRDefault="001E16C2">
      <w:pPr>
        <w:pStyle w:val="ECEbordure"/>
        <w:jc w:val="center"/>
        <w:rPr>
          <w:b/>
          <w:sz w:val="24"/>
          <w:szCs w:val="24"/>
        </w:rPr>
      </w:pPr>
      <w:r>
        <w:rPr>
          <w:rFonts w:eastAsia="Arial Unicode MS"/>
          <w:b/>
          <w:sz w:val="24"/>
          <w:szCs w:val="24"/>
        </w:rPr>
        <w:t>Épreuve pratique de l’enseignement de spécialité physique-chimie</w:t>
      </w:r>
    </w:p>
    <w:p w14:paraId="331A833D" w14:textId="77777777" w:rsidR="009955E3" w:rsidRDefault="001E16C2">
      <w:pPr>
        <w:pStyle w:val="ECEbordure"/>
        <w:jc w:val="center"/>
        <w:rPr>
          <w:b/>
          <w:sz w:val="24"/>
          <w:szCs w:val="24"/>
        </w:rPr>
      </w:pPr>
      <w:r>
        <w:rPr>
          <w:b/>
          <w:sz w:val="24"/>
          <w:szCs w:val="24"/>
        </w:rPr>
        <w:t>Évaluation des Compétences Expérimentales</w:t>
      </w:r>
    </w:p>
    <w:p w14:paraId="1B2997B3" w14:textId="77777777" w:rsidR="009955E3" w:rsidRDefault="009955E3">
      <w:pPr>
        <w:pStyle w:val="ECEbordure"/>
        <w:jc w:val="center"/>
      </w:pPr>
    </w:p>
    <w:p w14:paraId="25AD6E05" w14:textId="77777777" w:rsidR="009955E3" w:rsidRDefault="001E16C2">
      <w:pPr>
        <w:pStyle w:val="ECEbordure"/>
        <w:jc w:val="center"/>
      </w:pPr>
      <w:r>
        <w:t>Cette situation d’évaluation fait partie de la banque nationale.</w:t>
      </w:r>
    </w:p>
    <w:p w14:paraId="09626DF1" w14:textId="77777777" w:rsidR="009955E3" w:rsidRDefault="009955E3">
      <w:pPr>
        <w:pStyle w:val="ECEbordure"/>
        <w:jc w:val="center"/>
      </w:pPr>
    </w:p>
    <w:p w14:paraId="20206BE7" w14:textId="77777777" w:rsidR="009955E3" w:rsidRDefault="009955E3">
      <w:pPr>
        <w:pStyle w:val="ECEcorps"/>
      </w:pPr>
    </w:p>
    <w:p w14:paraId="16D83CFC" w14:textId="77777777" w:rsidR="009955E3" w:rsidRDefault="001E16C2">
      <w:pPr>
        <w:pStyle w:val="ECEfiche"/>
        <w:ind w:left="142" w:right="139"/>
        <w:rPr>
          <w:b/>
        </w:rPr>
      </w:pPr>
      <w:bookmarkStart w:id="1" w:name="_Toc500182690"/>
      <w:bookmarkStart w:id="2" w:name="_Toc482638813"/>
      <w:r>
        <w:t>ÉNONCÉ DESTINÉ AU CANDIDAT</w:t>
      </w:r>
      <w:bookmarkEnd w:id="1"/>
      <w:bookmarkEnd w:id="2"/>
    </w:p>
    <w:p w14:paraId="00A84EA4" w14:textId="77777777" w:rsidR="009955E3" w:rsidRDefault="009955E3">
      <w:pPr>
        <w:pStyle w:val="ECEcorps"/>
      </w:pPr>
    </w:p>
    <w:tbl>
      <w:tblPr>
        <w:tblW w:w="9866" w:type="dxa"/>
        <w:jc w:val="center"/>
        <w:tblLayout w:type="fixed"/>
        <w:tblCellMar>
          <w:top w:w="57" w:type="dxa"/>
          <w:left w:w="57" w:type="dxa"/>
          <w:bottom w:w="57" w:type="dxa"/>
          <w:right w:w="57" w:type="dxa"/>
        </w:tblCellMar>
        <w:tblLook w:val="04A0" w:firstRow="1" w:lastRow="0" w:firstColumn="1" w:lastColumn="0" w:noHBand="0" w:noVBand="1"/>
      </w:tblPr>
      <w:tblGrid>
        <w:gridCol w:w="4934"/>
        <w:gridCol w:w="4932"/>
      </w:tblGrid>
      <w:tr w:rsidR="009955E3" w14:paraId="5584A301" w14:textId="77777777">
        <w:trPr>
          <w:jc w:val="center"/>
        </w:trPr>
        <w:tc>
          <w:tcPr>
            <w:tcW w:w="4933" w:type="dxa"/>
            <w:tcBorders>
              <w:top w:val="double" w:sz="4" w:space="0" w:color="000000"/>
              <w:left w:val="double" w:sz="4" w:space="0" w:color="000000"/>
              <w:bottom w:val="double" w:sz="4" w:space="0" w:color="000000"/>
              <w:right w:val="double" w:sz="4" w:space="0" w:color="000000"/>
            </w:tcBorders>
          </w:tcPr>
          <w:p w14:paraId="53DD9ACE" w14:textId="77777777" w:rsidR="009955E3" w:rsidRDefault="001E16C2">
            <w:pPr>
              <w:pStyle w:val="ECEcorps"/>
              <w:widowControl w:val="0"/>
            </w:pPr>
            <w:r>
              <w:t xml:space="preserve">NOM : </w:t>
            </w:r>
          </w:p>
          <w:p w14:paraId="7788B7A3" w14:textId="77777777" w:rsidR="009955E3" w:rsidRDefault="009955E3">
            <w:pPr>
              <w:pStyle w:val="ECEcorps"/>
              <w:widowControl w:val="0"/>
            </w:pPr>
          </w:p>
        </w:tc>
        <w:tc>
          <w:tcPr>
            <w:tcW w:w="4932" w:type="dxa"/>
            <w:tcBorders>
              <w:top w:val="double" w:sz="4" w:space="0" w:color="000000"/>
              <w:left w:val="double" w:sz="4" w:space="0" w:color="000000"/>
              <w:bottom w:val="double" w:sz="4" w:space="0" w:color="000000"/>
              <w:right w:val="double" w:sz="4" w:space="0" w:color="000000"/>
            </w:tcBorders>
          </w:tcPr>
          <w:p w14:paraId="52F9D59C" w14:textId="77777777" w:rsidR="009955E3" w:rsidRDefault="001E16C2">
            <w:pPr>
              <w:pStyle w:val="ECEcorps"/>
              <w:widowControl w:val="0"/>
            </w:pPr>
            <w:r>
              <w:t xml:space="preserve">Prénom : </w:t>
            </w:r>
          </w:p>
        </w:tc>
      </w:tr>
      <w:tr w:rsidR="009955E3" w14:paraId="5CDD1A8C" w14:textId="77777777">
        <w:trPr>
          <w:jc w:val="center"/>
        </w:trPr>
        <w:tc>
          <w:tcPr>
            <w:tcW w:w="4933" w:type="dxa"/>
            <w:tcBorders>
              <w:top w:val="double" w:sz="4" w:space="0" w:color="000000"/>
              <w:left w:val="double" w:sz="4" w:space="0" w:color="000000"/>
              <w:bottom w:val="double" w:sz="4" w:space="0" w:color="000000"/>
              <w:right w:val="double" w:sz="4" w:space="0" w:color="000000"/>
            </w:tcBorders>
          </w:tcPr>
          <w:p w14:paraId="5C6E3554" w14:textId="77777777" w:rsidR="009955E3" w:rsidRDefault="001E16C2">
            <w:pPr>
              <w:pStyle w:val="ECEcorps"/>
              <w:widowControl w:val="0"/>
            </w:pPr>
            <w:r>
              <w:t xml:space="preserve">Centre d’examen : </w:t>
            </w:r>
          </w:p>
          <w:p w14:paraId="0B00BACD" w14:textId="77777777" w:rsidR="009955E3" w:rsidRDefault="009955E3">
            <w:pPr>
              <w:pStyle w:val="ECEcorps"/>
              <w:widowControl w:val="0"/>
            </w:pPr>
          </w:p>
        </w:tc>
        <w:tc>
          <w:tcPr>
            <w:tcW w:w="4932" w:type="dxa"/>
            <w:tcBorders>
              <w:top w:val="double" w:sz="4" w:space="0" w:color="000000"/>
              <w:left w:val="double" w:sz="4" w:space="0" w:color="000000"/>
              <w:bottom w:val="double" w:sz="4" w:space="0" w:color="000000"/>
              <w:right w:val="double" w:sz="4" w:space="0" w:color="000000"/>
            </w:tcBorders>
          </w:tcPr>
          <w:p w14:paraId="360AF170" w14:textId="77777777" w:rsidR="009955E3" w:rsidRDefault="001E16C2">
            <w:pPr>
              <w:pStyle w:val="ECEcorps"/>
              <w:widowControl w:val="0"/>
            </w:pPr>
            <w:r>
              <w:t xml:space="preserve">n° d’inscription : </w:t>
            </w:r>
          </w:p>
        </w:tc>
      </w:tr>
    </w:tbl>
    <w:p w14:paraId="295043EE" w14:textId="77777777" w:rsidR="009955E3" w:rsidRDefault="009955E3">
      <w:pPr>
        <w:pStyle w:val="ECEcorps"/>
      </w:pPr>
    </w:p>
    <w:p w14:paraId="074AB77D" w14:textId="77777777" w:rsidR="009955E3" w:rsidRDefault="001E16C2">
      <w:pPr>
        <w:pStyle w:val="ECEbordure"/>
      </w:pPr>
      <w:r>
        <w:t xml:space="preserve">Cette situation d’évaluation comporte </w:t>
      </w:r>
      <w:r w:rsidR="007A7B0B">
        <w:rPr>
          <w:b/>
        </w:rPr>
        <w:t>quatre</w:t>
      </w:r>
      <w:r>
        <w:rPr>
          <w:b/>
        </w:rPr>
        <w:t xml:space="preserve"> </w:t>
      </w:r>
      <w:r>
        <w:t>pages sur lesquelles le candidat doit consigner ses réponses.</w:t>
      </w:r>
    </w:p>
    <w:p w14:paraId="586DE876" w14:textId="77777777" w:rsidR="009955E3" w:rsidRDefault="001E16C2">
      <w:pPr>
        <w:pStyle w:val="ECEbordure"/>
      </w:pPr>
      <w:r>
        <w:t>Le candidat doit restituer ce document avant de sortir de la salle d'examen.</w:t>
      </w:r>
    </w:p>
    <w:p w14:paraId="0B7BDD99" w14:textId="77777777" w:rsidR="009955E3" w:rsidRDefault="009955E3">
      <w:pPr>
        <w:pStyle w:val="ECEbordure"/>
      </w:pPr>
    </w:p>
    <w:p w14:paraId="29F0EB2F" w14:textId="77777777" w:rsidR="009955E3" w:rsidRDefault="001E16C2">
      <w:pPr>
        <w:pStyle w:val="ECEbordure"/>
      </w:pPr>
      <w:r>
        <w:t>Le candidat doit agir en autonomie et faire preuve d’initiative tout au long de l’épreuve.</w:t>
      </w:r>
    </w:p>
    <w:p w14:paraId="1A7B312F" w14:textId="77777777" w:rsidR="009955E3" w:rsidRDefault="001E16C2">
      <w:pPr>
        <w:pStyle w:val="ECEbordure"/>
      </w:pPr>
      <w:r>
        <w:t>En cas de difficulté, le candidat peut solliciter l’examinateur afin de lui permettre de continuer la tâche.</w:t>
      </w:r>
    </w:p>
    <w:p w14:paraId="031A9A04" w14:textId="77777777" w:rsidR="009955E3" w:rsidRDefault="001E16C2">
      <w:pPr>
        <w:pStyle w:val="ECEbordure"/>
      </w:pPr>
      <w:r>
        <w:t>L’examinateur peut intervenir à tout moment, s’il le juge utile.</w:t>
      </w:r>
    </w:p>
    <w:p w14:paraId="2E9338F0" w14:textId="77777777" w:rsidR="009955E3" w:rsidRDefault="001E16C2">
      <w:pPr>
        <w:pStyle w:val="ECEbordure"/>
      </w:pPr>
      <w:r>
        <w:t xml:space="preserve">L’usage de calculatrice avec mode examen actif est autorisé. L’usage de calculatrice sans mémoire « type collège » est autorisé. </w:t>
      </w:r>
    </w:p>
    <w:p w14:paraId="60FC0C7B" w14:textId="77777777" w:rsidR="009955E3" w:rsidRDefault="009955E3">
      <w:pPr>
        <w:pStyle w:val="ECEcorps"/>
        <w:rPr>
          <w:u w:val="single"/>
        </w:rPr>
      </w:pPr>
    </w:p>
    <w:p w14:paraId="4077AB7E" w14:textId="77777777" w:rsidR="009955E3" w:rsidRDefault="009955E3">
      <w:pPr>
        <w:pStyle w:val="ECEcorps"/>
        <w:rPr>
          <w:u w:val="single"/>
        </w:rPr>
      </w:pPr>
    </w:p>
    <w:p w14:paraId="49FACE53" w14:textId="77777777" w:rsidR="009955E3" w:rsidRDefault="009955E3">
      <w:pPr>
        <w:pStyle w:val="ECEcorps"/>
        <w:rPr>
          <w:u w:val="single"/>
        </w:rPr>
      </w:pPr>
    </w:p>
    <w:p w14:paraId="35CA1FEB" w14:textId="77777777" w:rsidR="009955E3" w:rsidRDefault="001E16C2">
      <w:pPr>
        <w:pStyle w:val="ECEtitre"/>
        <w:rPr>
          <w:sz w:val="24"/>
          <w:szCs w:val="24"/>
        </w:rPr>
      </w:pPr>
      <w:r>
        <w:rPr>
          <w:sz w:val="24"/>
          <w:szCs w:val="24"/>
        </w:rPr>
        <w:t>CONTEXTE DE LA SITUATION D’ÉVALUATION</w:t>
      </w:r>
    </w:p>
    <w:p w14:paraId="26374514" w14:textId="77777777" w:rsidR="009955E3" w:rsidRDefault="009955E3">
      <w:pPr>
        <w:pStyle w:val="ECEcorps"/>
        <w:rPr>
          <w:u w:val="single"/>
        </w:rPr>
      </w:pPr>
    </w:p>
    <w:p w14:paraId="3161C76A" w14:textId="77777777" w:rsidR="009955E3" w:rsidRDefault="001E16C2">
      <w:pPr>
        <w:pStyle w:val="ECEcorps"/>
      </w:pPr>
      <w:r>
        <w:rPr>
          <w:noProof/>
        </w:rPr>
        <w:drawing>
          <wp:anchor distT="0" distB="0" distL="114300" distR="0" simplePos="0" relativeHeight="2" behindDoc="0" locked="0" layoutInCell="0" allowOverlap="1" wp14:anchorId="66380ECF" wp14:editId="0F9CF976">
            <wp:simplePos x="0" y="0"/>
            <wp:positionH relativeFrom="margin">
              <wp:align>right</wp:align>
            </wp:positionH>
            <wp:positionV relativeFrom="paragraph">
              <wp:posOffset>12065</wp:posOffset>
            </wp:positionV>
            <wp:extent cx="2896235" cy="1430020"/>
            <wp:effectExtent l="0" t="0" r="0" b="0"/>
            <wp:wrapSquare wrapText="bothSides"/>
            <wp:docPr id="1"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Image associée"/>
                    <pic:cNvPicPr>
                      <a:picLocks noChangeAspect="1" noChangeArrowheads="1"/>
                    </pic:cNvPicPr>
                  </pic:nvPicPr>
                  <pic:blipFill>
                    <a:blip r:embed="rId8"/>
                    <a:stretch>
                      <a:fillRect/>
                    </a:stretch>
                  </pic:blipFill>
                  <pic:spPr bwMode="auto">
                    <a:xfrm>
                      <a:off x="0" y="0"/>
                      <a:ext cx="2896235" cy="1430020"/>
                    </a:xfrm>
                    <a:prstGeom prst="rect">
                      <a:avLst/>
                    </a:prstGeom>
                  </pic:spPr>
                </pic:pic>
              </a:graphicData>
            </a:graphic>
          </wp:anchor>
        </w:drawing>
      </w:r>
    </w:p>
    <w:p w14:paraId="0F2BFB5D" w14:textId="77777777" w:rsidR="009955E3" w:rsidRDefault="00DF6AB7">
      <w:pPr>
        <w:pStyle w:val="ECEcorps"/>
      </w:pPr>
      <w:r>
        <w:t xml:space="preserve">Un jardinier </w:t>
      </w:r>
      <w:r w:rsidR="001E16C2">
        <w:t>a po</w:t>
      </w:r>
      <w:r>
        <w:t>ur mission de rendre le gazon d’un</w:t>
      </w:r>
      <w:r w:rsidR="001E16C2">
        <w:t xml:space="preserve"> parcours</w:t>
      </w:r>
      <w:r>
        <w:t xml:space="preserve"> de golf</w:t>
      </w:r>
      <w:r w:rsidR="001E16C2">
        <w:t xml:space="preserve"> plus dense, plus vert et plus vigoureux. </w:t>
      </w:r>
    </w:p>
    <w:p w14:paraId="2556C7B3" w14:textId="77777777" w:rsidR="009955E3" w:rsidRDefault="009955E3">
      <w:pPr>
        <w:pStyle w:val="ECEcorps"/>
      </w:pPr>
    </w:p>
    <w:p w14:paraId="0D37D840" w14:textId="77777777" w:rsidR="009955E3" w:rsidRDefault="001E16C2">
      <w:pPr>
        <w:pStyle w:val="ECEcorps"/>
      </w:pPr>
      <w:r>
        <w:t xml:space="preserve">Pour cela, il tient à vérifier les pourcentages en masse d’azote (N), de phosphore (P) et de potassium (K) présents dans l’engrais qu’il vient d’acheter, essentiel à l’obtention d’un beau gazon. </w:t>
      </w:r>
    </w:p>
    <w:p w14:paraId="326FC7E6" w14:textId="77777777" w:rsidR="009955E3" w:rsidRDefault="009955E3">
      <w:pPr>
        <w:pStyle w:val="ECEcorps"/>
      </w:pPr>
    </w:p>
    <w:p w14:paraId="05548253" w14:textId="77777777" w:rsidR="009955E3" w:rsidRDefault="009955E3">
      <w:pPr>
        <w:pStyle w:val="ECEcorps"/>
      </w:pPr>
    </w:p>
    <w:p w14:paraId="16184D5F" w14:textId="77777777" w:rsidR="009955E3" w:rsidRDefault="009955E3">
      <w:pPr>
        <w:pStyle w:val="ECEcorps"/>
      </w:pPr>
    </w:p>
    <w:p w14:paraId="3D5CF739" w14:textId="77777777" w:rsidR="009955E3" w:rsidRDefault="009955E3">
      <w:pPr>
        <w:pStyle w:val="ECEcorps"/>
      </w:pPr>
    </w:p>
    <w:p w14:paraId="32852B03" w14:textId="77777777" w:rsidR="009955E3" w:rsidRDefault="009955E3">
      <w:pPr>
        <w:pStyle w:val="ECEcorps"/>
      </w:pPr>
    </w:p>
    <w:p w14:paraId="39CFDBBF" w14:textId="77777777" w:rsidR="009955E3" w:rsidRDefault="001E16C2">
      <w:pPr>
        <w:pStyle w:val="ECEcorps"/>
        <w:rPr>
          <w:b/>
          <w:i/>
          <w:sz w:val="24"/>
        </w:rPr>
      </w:pPr>
      <w:r>
        <w:rPr>
          <w:b/>
          <w:i/>
          <w:sz w:val="24"/>
        </w:rPr>
        <w:t>Le but de cette épreuve est de vérifier le pourcentage en azote présent dans l’engrais.</w:t>
      </w:r>
    </w:p>
    <w:p w14:paraId="762DF710" w14:textId="77777777" w:rsidR="009955E3" w:rsidRDefault="009955E3">
      <w:pPr>
        <w:pStyle w:val="ECEcorps"/>
        <w:rPr>
          <w:b/>
          <w:i/>
          <w:sz w:val="24"/>
        </w:rPr>
      </w:pPr>
    </w:p>
    <w:p w14:paraId="5C6C285B" w14:textId="77777777" w:rsidR="009955E3" w:rsidRDefault="009955E3">
      <w:pPr>
        <w:pStyle w:val="ECEcorps"/>
      </w:pPr>
    </w:p>
    <w:p w14:paraId="3C551B87" w14:textId="77777777" w:rsidR="009955E3" w:rsidRDefault="009955E3">
      <w:pPr>
        <w:pStyle w:val="ECEcorps"/>
      </w:pPr>
    </w:p>
    <w:p w14:paraId="280DD62C" w14:textId="77777777" w:rsidR="009955E3" w:rsidRDefault="009955E3">
      <w:pPr>
        <w:pStyle w:val="ECEcorps"/>
      </w:pPr>
    </w:p>
    <w:p w14:paraId="35DE1E71" w14:textId="77777777" w:rsidR="009955E3" w:rsidRDefault="009955E3">
      <w:pPr>
        <w:pStyle w:val="ECEcorps"/>
      </w:pPr>
    </w:p>
    <w:p w14:paraId="2542A154" w14:textId="77777777" w:rsidR="009955E3" w:rsidRDefault="009955E3">
      <w:pPr>
        <w:pStyle w:val="ECEcorps"/>
      </w:pPr>
    </w:p>
    <w:p w14:paraId="0833E9E9" w14:textId="77777777" w:rsidR="009955E3" w:rsidRDefault="009955E3">
      <w:pPr>
        <w:pStyle w:val="ECEcorps"/>
      </w:pPr>
    </w:p>
    <w:p w14:paraId="4AA153AE" w14:textId="77777777" w:rsidR="009955E3" w:rsidRDefault="009955E3">
      <w:pPr>
        <w:pStyle w:val="ECEcorps"/>
      </w:pPr>
    </w:p>
    <w:p w14:paraId="2A14115B" w14:textId="77777777" w:rsidR="009955E3" w:rsidRDefault="009955E3">
      <w:pPr>
        <w:pStyle w:val="ECEcorps"/>
      </w:pPr>
    </w:p>
    <w:p w14:paraId="5EEA8D0C" w14:textId="77777777" w:rsidR="009955E3" w:rsidRDefault="009955E3">
      <w:pPr>
        <w:pStyle w:val="ECEcorps"/>
      </w:pPr>
    </w:p>
    <w:p w14:paraId="67320004" w14:textId="77777777" w:rsidR="009955E3" w:rsidRDefault="001E16C2">
      <w:pPr>
        <w:pStyle w:val="ECEcorps"/>
        <w:rPr>
          <w:b/>
          <w:sz w:val="24"/>
          <w:szCs w:val="24"/>
          <w:u w:val="single"/>
        </w:rPr>
      </w:pPr>
      <w:r>
        <w:rPr>
          <w:b/>
          <w:sz w:val="24"/>
          <w:szCs w:val="24"/>
          <w:u w:val="single"/>
        </w:rPr>
        <w:lastRenderedPageBreak/>
        <w:t>INFORMATIONS MISES À DISPOSITION DU CANDIDAT</w:t>
      </w:r>
    </w:p>
    <w:p w14:paraId="0437808F" w14:textId="77777777" w:rsidR="009955E3" w:rsidRDefault="009955E3">
      <w:pPr>
        <w:pStyle w:val="ECEcorps"/>
      </w:pPr>
    </w:p>
    <w:p w14:paraId="604B9F07" w14:textId="77777777" w:rsidR="009955E3" w:rsidRDefault="001E16C2">
      <w:pPr>
        <w:pStyle w:val="ECEtitre"/>
        <w:spacing w:after="240"/>
        <w:rPr>
          <w:sz w:val="24"/>
          <w:szCs w:val="24"/>
        </w:rPr>
      </w:pPr>
      <w:r>
        <w:rPr>
          <w:sz w:val="24"/>
          <w:szCs w:val="24"/>
        </w:rPr>
        <w:t>L’engrais du jardinier</w:t>
      </w:r>
      <w:r>
        <w:rPr>
          <w:sz w:val="24"/>
          <w:szCs w:val="24"/>
          <w:u w:val="none"/>
        </w:rPr>
        <w:t> </w:t>
      </w:r>
    </w:p>
    <w:p w14:paraId="5020A868" w14:textId="77777777" w:rsidR="009955E3" w:rsidRDefault="001E16C2">
      <w:pPr>
        <w:pStyle w:val="ECEcorps"/>
        <w:rPr>
          <w:b/>
          <w:shd w:val="clear" w:color="auto" w:fill="FFFFFF"/>
        </w:rPr>
      </w:pPr>
      <w:r>
        <w:rPr>
          <w:b/>
          <w:shd w:val="clear" w:color="auto" w:fill="FFFFFF"/>
        </w:rPr>
        <w:t>Descriptif :</w:t>
      </w:r>
    </w:p>
    <w:p w14:paraId="0FE987F5" w14:textId="77777777" w:rsidR="009955E3" w:rsidRDefault="001E16C2">
      <w:pPr>
        <w:pStyle w:val="ECEcorps"/>
        <w:rPr>
          <w:shd w:val="clear" w:color="auto" w:fill="FFFFFF"/>
        </w:rPr>
      </w:pPr>
      <w:r>
        <w:rPr>
          <w:shd w:val="clear" w:color="auto" w:fill="FFFFFF"/>
        </w:rPr>
        <w:t xml:space="preserve">L'engrais universel à action rapide apporte un "coup de fouet" destiné à accélérer la croissance des végétaux. Il est également bien adapté à l’entretien des cultures lors de la période végétative grâce à sa composition équilibrée. </w:t>
      </w:r>
    </w:p>
    <w:p w14:paraId="0D11843E" w14:textId="77777777" w:rsidR="009955E3" w:rsidRDefault="009955E3">
      <w:pPr>
        <w:pStyle w:val="ECEcorps"/>
        <w:rPr>
          <w:sz w:val="15"/>
          <w:szCs w:val="15"/>
          <w:shd w:val="clear" w:color="auto" w:fill="FFFFFF"/>
        </w:rPr>
      </w:pPr>
    </w:p>
    <w:p w14:paraId="740B07E0" w14:textId="77777777" w:rsidR="009955E3" w:rsidRDefault="001E16C2">
      <w:pPr>
        <w:pStyle w:val="ECEcorps"/>
        <w:rPr>
          <w:shd w:val="clear" w:color="auto" w:fill="FFFFFF"/>
        </w:rPr>
      </w:pPr>
      <w:r>
        <w:rPr>
          <w:rStyle w:val="lev"/>
          <w:shd w:val="clear" w:color="auto" w:fill="FFFFFF"/>
        </w:rPr>
        <w:t>Composition en pourcentage massique : </w:t>
      </w:r>
      <w:r>
        <w:rPr>
          <w:shd w:val="clear" w:color="auto" w:fill="FFFFFF"/>
        </w:rPr>
        <w:t>N.P.K 12.12.17</w:t>
      </w:r>
    </w:p>
    <w:p w14:paraId="663A15E8" w14:textId="2E710B76" w:rsidR="009955E3" w:rsidRDefault="001E16C2">
      <w:pPr>
        <w:pStyle w:val="ECEcorps"/>
        <w:rPr>
          <w:shd w:val="clear" w:color="auto" w:fill="FFFFFF"/>
        </w:rPr>
      </w:pPr>
      <w:r>
        <w:rPr>
          <w:shd w:val="clear" w:color="auto" w:fill="FFFFFF"/>
        </w:rPr>
        <w:t>12% d'azote (N) apporté sous forme ammoniacale (NH</w:t>
      </w:r>
      <w:r>
        <w:rPr>
          <w:shd w:val="clear" w:color="auto" w:fill="FFFFFF"/>
          <w:vertAlign w:val="subscript"/>
        </w:rPr>
        <w:t>4</w:t>
      </w:r>
      <w:r w:rsidR="003C7C51">
        <w:rPr>
          <w:shd w:val="clear" w:color="auto" w:fill="FFFFFF"/>
          <w:vertAlign w:val="superscript"/>
        </w:rPr>
        <w:t>+</w:t>
      </w:r>
      <w:r>
        <w:rPr>
          <w:shd w:val="clear" w:color="auto" w:fill="FFFFFF"/>
        </w:rPr>
        <w:t>), 12% d'anhydride phosphorique (P</w:t>
      </w:r>
      <w:r>
        <w:rPr>
          <w:shd w:val="clear" w:color="auto" w:fill="FFFFFF"/>
          <w:vertAlign w:val="subscript"/>
        </w:rPr>
        <w:t>2</w:t>
      </w:r>
      <w:r>
        <w:rPr>
          <w:shd w:val="clear" w:color="auto" w:fill="FFFFFF"/>
        </w:rPr>
        <w:t>O</w:t>
      </w:r>
      <w:r>
        <w:rPr>
          <w:shd w:val="clear" w:color="auto" w:fill="FFFFFF"/>
          <w:vertAlign w:val="subscript"/>
        </w:rPr>
        <w:t>5</w:t>
      </w:r>
      <w:r>
        <w:rPr>
          <w:shd w:val="clear" w:color="auto" w:fill="FFFFFF"/>
        </w:rPr>
        <w:t>), 17% d'oxyde de potassium (K</w:t>
      </w:r>
      <w:r>
        <w:rPr>
          <w:shd w:val="clear" w:color="auto" w:fill="FFFFFF"/>
          <w:vertAlign w:val="subscript"/>
        </w:rPr>
        <w:t>2</w:t>
      </w:r>
      <w:r>
        <w:rPr>
          <w:shd w:val="clear" w:color="auto" w:fill="FFFFFF"/>
        </w:rPr>
        <w:t xml:space="preserve">O) </w:t>
      </w:r>
    </w:p>
    <w:p w14:paraId="5D675719" w14:textId="77777777" w:rsidR="009955E3" w:rsidRDefault="001E16C2">
      <w:pPr>
        <w:pStyle w:val="ECEcorps"/>
        <w:jc w:val="right"/>
      </w:pPr>
      <w:r>
        <w:rPr>
          <w:i/>
          <w:iCs/>
          <w:shd w:val="clear" w:color="auto" w:fill="FFFFFF"/>
        </w:rPr>
        <w:t>Source : Engrais universel, Truffaut®</w:t>
      </w:r>
    </w:p>
    <w:p w14:paraId="6085308C" w14:textId="77777777" w:rsidR="009955E3" w:rsidRDefault="009955E3">
      <w:pPr>
        <w:pStyle w:val="ECEcorps"/>
        <w:rPr>
          <w:sz w:val="24"/>
          <w:szCs w:val="24"/>
        </w:rPr>
      </w:pPr>
    </w:p>
    <w:p w14:paraId="70A45C39" w14:textId="6FB68917" w:rsidR="009955E3" w:rsidRDefault="001E16C2">
      <w:pPr>
        <w:pStyle w:val="ECEtitre"/>
        <w:rPr>
          <w:sz w:val="24"/>
          <w:szCs w:val="24"/>
        </w:rPr>
      </w:pPr>
      <w:r>
        <w:rPr>
          <w:sz w:val="24"/>
          <w:szCs w:val="24"/>
        </w:rPr>
        <w:t>Influence sur la force de l’acide</w:t>
      </w:r>
      <w:r w:rsidR="002075B8">
        <w:rPr>
          <w:sz w:val="24"/>
          <w:szCs w:val="24"/>
        </w:rPr>
        <w:t xml:space="preserve"> sur l’allure de la courbe de titrage pH-métrique</w:t>
      </w:r>
    </w:p>
    <w:p w14:paraId="6C72F017" w14:textId="77777777" w:rsidR="009955E3" w:rsidRDefault="001E16C2">
      <w:pPr>
        <w:pStyle w:val="optxtp"/>
        <w:shd w:val="clear" w:color="auto" w:fill="FFFFFF"/>
        <w:spacing w:before="240" w:beforeAutospacing="0" w:after="168" w:afterAutospacing="0"/>
        <w:ind w:right="240"/>
        <w:jc w:val="both"/>
        <w:rPr>
          <w:rFonts w:ascii="Arial" w:hAnsi="Arial" w:cs="Arial"/>
          <w:sz w:val="20"/>
          <w:szCs w:val="20"/>
        </w:rPr>
      </w:pPr>
      <w:r>
        <w:rPr>
          <w:rFonts w:ascii="Arial" w:hAnsi="Arial" w:cs="Arial"/>
          <w:color w:val="000000"/>
          <w:sz w:val="20"/>
          <w:szCs w:val="20"/>
        </w:rPr>
        <w:t xml:space="preserve">Comparons trois solutions d’acides de concentrations identiques : deux solutions d’acides faibles de </w:t>
      </w:r>
      <w:r>
        <w:rPr>
          <w:rFonts w:ascii="Arial" w:hAnsi="Arial" w:cs="Arial"/>
          <w:i/>
          <w:color w:val="000000"/>
          <w:sz w:val="20"/>
          <w:szCs w:val="20"/>
        </w:rPr>
        <w:t>pK</w:t>
      </w:r>
      <w:r>
        <w:rPr>
          <w:rFonts w:ascii="Arial" w:hAnsi="Arial" w:cs="Arial"/>
          <w:color w:val="000000"/>
          <w:sz w:val="20"/>
          <w:szCs w:val="20"/>
          <w:vertAlign w:val="subscript"/>
        </w:rPr>
        <w:t>A</w:t>
      </w:r>
      <w:r>
        <w:rPr>
          <w:rFonts w:ascii="Arial" w:hAnsi="Arial" w:cs="Arial"/>
          <w:color w:val="000000"/>
          <w:sz w:val="20"/>
          <w:szCs w:val="20"/>
        </w:rPr>
        <w:t xml:space="preserve"> différents et une solution d’acide fort. Lorsque ces trois solutions d’acides sont dosées par la même solution d’hydroxyde de sodium, </w:t>
      </w:r>
      <w:r>
        <w:rPr>
          <w:rFonts w:ascii="Arial" w:hAnsi="Arial" w:cs="Arial"/>
          <w:b/>
          <w:color w:val="000000"/>
          <w:sz w:val="20"/>
          <w:szCs w:val="20"/>
        </w:rPr>
        <w:t>o</w:t>
      </w:r>
      <w:r>
        <w:rPr>
          <w:rStyle w:val="optxtisemp"/>
          <w:rFonts w:ascii="Arial" w:hAnsi="Arial" w:cs="Arial"/>
          <w:b/>
          <w:bCs/>
          <w:sz w:val="20"/>
          <w:szCs w:val="20"/>
        </w:rPr>
        <w:t>n observe que le saut de pH est d'autant plus marqué que l'acide est plus fort.</w:t>
      </w:r>
    </w:p>
    <w:p w14:paraId="10718617" w14:textId="77777777" w:rsidR="009955E3" w:rsidRDefault="001E16C2">
      <w:pPr>
        <w:pStyle w:val="optxtp"/>
        <w:shd w:val="clear" w:color="auto" w:fill="FFFFFF"/>
        <w:spacing w:before="48" w:beforeAutospacing="0" w:after="168" w:afterAutospacing="0"/>
        <w:ind w:right="240"/>
        <w:jc w:val="both"/>
        <w:rPr>
          <w:rFonts w:ascii="Arial" w:hAnsi="Arial" w:cs="Arial"/>
          <w:color w:val="000000"/>
          <w:sz w:val="20"/>
          <w:szCs w:val="20"/>
        </w:rPr>
      </w:pPr>
      <w:r>
        <w:rPr>
          <w:rFonts w:ascii="Arial" w:hAnsi="Arial" w:cs="Arial"/>
          <w:color w:val="000000"/>
          <w:sz w:val="20"/>
          <w:szCs w:val="20"/>
        </w:rPr>
        <w:t xml:space="preserve">Ce saut de </w:t>
      </w:r>
      <w:r>
        <w:rPr>
          <w:rFonts w:ascii="Arial" w:hAnsi="Arial" w:cs="Arial"/>
          <w:i/>
          <w:iCs/>
          <w:color w:val="000000"/>
          <w:sz w:val="20"/>
          <w:szCs w:val="20"/>
        </w:rPr>
        <w:t>pH</w:t>
      </w:r>
      <w:r>
        <w:rPr>
          <w:rFonts w:ascii="Arial" w:hAnsi="Arial" w:cs="Arial"/>
          <w:color w:val="000000"/>
          <w:sz w:val="20"/>
          <w:szCs w:val="20"/>
        </w:rPr>
        <w:t xml:space="preserve"> devient difficilement détectable pour un acide très faible (</w:t>
      </w:r>
      <w:r>
        <w:rPr>
          <w:rFonts w:ascii="Arial" w:hAnsi="Arial" w:cs="Arial"/>
          <w:i/>
          <w:color w:val="000000"/>
          <w:sz w:val="20"/>
          <w:szCs w:val="20"/>
        </w:rPr>
        <w:t>pK</w:t>
      </w:r>
      <w:r>
        <w:rPr>
          <w:rFonts w:ascii="Arial" w:hAnsi="Arial" w:cs="Arial"/>
          <w:i/>
          <w:color w:val="000000"/>
          <w:sz w:val="20"/>
          <w:szCs w:val="20"/>
          <w:vertAlign w:val="subscript"/>
        </w:rPr>
        <w:t>A</w:t>
      </w:r>
      <w:r>
        <w:rPr>
          <w:rFonts w:ascii="Arial" w:hAnsi="Arial" w:cs="Arial"/>
          <w:color w:val="000000"/>
          <w:sz w:val="20"/>
          <w:szCs w:val="20"/>
          <w:vertAlign w:val="subscript"/>
        </w:rPr>
        <w:t xml:space="preserve"> </w:t>
      </w:r>
      <w:r>
        <w:rPr>
          <w:rFonts w:ascii="Arial" w:hAnsi="Arial" w:cs="Arial"/>
          <w:color w:val="000000"/>
          <w:sz w:val="20"/>
          <w:szCs w:val="20"/>
        </w:rPr>
        <w:t xml:space="preserve">&gt; 9). </w:t>
      </w:r>
    </w:p>
    <w:p w14:paraId="6E31CAD6" w14:textId="7EFD0A2E" w:rsidR="009955E3" w:rsidRDefault="001E16C2">
      <w:pPr>
        <w:pStyle w:val="optxtp"/>
        <w:shd w:val="clear" w:color="auto" w:fill="FFFFFF"/>
        <w:spacing w:before="48" w:beforeAutospacing="0" w:after="168" w:afterAutospacing="0"/>
        <w:ind w:right="240"/>
        <w:jc w:val="both"/>
        <w:rPr>
          <w:rFonts w:ascii="Arial" w:hAnsi="Arial" w:cs="Arial"/>
          <w:color w:val="000000"/>
          <w:sz w:val="20"/>
          <w:szCs w:val="20"/>
        </w:rPr>
      </w:pPr>
      <w:r>
        <w:rPr>
          <w:rFonts w:ascii="Arial" w:hAnsi="Arial" w:cs="Arial"/>
          <w:color w:val="000000"/>
          <w:sz w:val="20"/>
          <w:szCs w:val="20"/>
        </w:rPr>
        <w:t>On obtient par exemple l</w:t>
      </w:r>
      <w:r w:rsidR="002075B8">
        <w:rPr>
          <w:rFonts w:ascii="Arial" w:hAnsi="Arial" w:cs="Arial"/>
          <w:color w:val="000000"/>
          <w:sz w:val="20"/>
          <w:szCs w:val="20"/>
        </w:rPr>
        <w:t xml:space="preserve">e type de courbe suivant </w:t>
      </w:r>
      <w:r>
        <w:rPr>
          <w:rFonts w:ascii="Arial" w:hAnsi="Arial" w:cs="Arial"/>
          <w:color w:val="000000"/>
          <w:sz w:val="20"/>
          <w:szCs w:val="20"/>
        </w:rPr>
        <w:t>:</w:t>
      </w:r>
    </w:p>
    <w:p w14:paraId="073F7393" w14:textId="77777777" w:rsidR="009955E3" w:rsidRDefault="009D6598">
      <w:pPr>
        <w:pStyle w:val="ECEcorps"/>
        <w:jc w:val="center"/>
      </w:pPr>
      <w:r>
        <w:rPr>
          <w:noProof/>
        </w:rPr>
        <w:object w:dxaOrig="6914" w:dyaOrig="4889" w14:anchorId="141AEAAD">
          <v:shape id="ole_rId3" o:spid="_x0000_i1025" alt="" style="width:289.5pt;height:206.25pt;mso-width-percent:0;mso-height-percent:0;mso-width-percent:0;mso-height-percent:0" coordsize="" o:spt="100" adj="0,,0" path="" stroked="f">
            <v:stroke joinstyle="miter"/>
            <v:imagedata r:id="rId9" o:title=""/>
            <v:formulas/>
            <v:path o:connecttype="segments"/>
          </v:shape>
          <o:OLEObject Type="Embed" ProgID="PBrush" ShapeID="ole_rId3" DrawAspect="Content" ObjectID="_1734434754" r:id="rId10"/>
        </w:object>
      </w:r>
    </w:p>
    <w:p w14:paraId="28417D62" w14:textId="77777777" w:rsidR="009955E3" w:rsidRDefault="001E16C2">
      <w:pPr>
        <w:pStyle w:val="ECEtitre"/>
        <w:spacing w:after="240"/>
        <w:rPr>
          <w:sz w:val="24"/>
          <w:szCs w:val="24"/>
        </w:rPr>
      </w:pPr>
      <w:r>
        <w:rPr>
          <w:sz w:val="24"/>
          <w:szCs w:val="24"/>
        </w:rPr>
        <w:t>Données utiles</w:t>
      </w:r>
      <w:r>
        <w:rPr>
          <w:sz w:val="24"/>
          <w:szCs w:val="24"/>
          <w:u w:val="none"/>
        </w:rPr>
        <w:t> </w:t>
      </w:r>
    </w:p>
    <w:p w14:paraId="7373EE2B" w14:textId="65938AB3" w:rsidR="009955E3" w:rsidRPr="002075B8" w:rsidRDefault="001E16C2">
      <w:pPr>
        <w:pStyle w:val="ECEcorps"/>
        <w:rPr>
          <w:lang w:val="pt-BR"/>
        </w:rPr>
      </w:pPr>
      <w:r w:rsidRPr="002075B8">
        <w:rPr>
          <w:lang w:val="pt-BR"/>
        </w:rPr>
        <w:t>Masses molaires </w:t>
      </w:r>
      <w:r w:rsidR="002075B8" w:rsidRPr="002075B8">
        <w:rPr>
          <w:lang w:val="pt-BR"/>
        </w:rPr>
        <w:t>atomique</w:t>
      </w:r>
      <w:r w:rsidR="002075B8">
        <w:rPr>
          <w:lang w:val="pt-BR"/>
        </w:rPr>
        <w:t xml:space="preserve">s </w:t>
      </w:r>
      <w:r w:rsidRPr="002075B8">
        <w:rPr>
          <w:lang w:val="pt-BR"/>
        </w:rPr>
        <w:t xml:space="preserve">: </w:t>
      </w:r>
      <w:r w:rsidRPr="002075B8">
        <w:rPr>
          <w:i/>
          <w:lang w:val="pt-BR"/>
        </w:rPr>
        <w:t>M</w:t>
      </w:r>
      <w:r w:rsidRPr="002075B8">
        <w:rPr>
          <w:i/>
          <w:iCs/>
          <w:lang w:val="pt-BR"/>
        </w:rPr>
        <w:t>(N)</w:t>
      </w:r>
      <w:r w:rsidRPr="002075B8">
        <w:rPr>
          <w:lang w:val="pt-BR"/>
        </w:rPr>
        <w:t xml:space="preserve"> = 14,0 g·mol</w:t>
      </w:r>
      <w:r w:rsidRPr="002075B8">
        <w:rPr>
          <w:vertAlign w:val="superscript"/>
          <w:lang w:val="pt-BR"/>
        </w:rPr>
        <w:t>–1</w:t>
      </w:r>
      <w:r w:rsidRPr="002075B8">
        <w:rPr>
          <w:lang w:val="pt-BR"/>
        </w:rPr>
        <w:t xml:space="preserve">, </w:t>
      </w:r>
      <w:r w:rsidRPr="002075B8">
        <w:rPr>
          <w:i/>
          <w:lang w:val="pt-BR"/>
        </w:rPr>
        <w:t>M</w:t>
      </w:r>
      <w:r w:rsidRPr="002075B8">
        <w:rPr>
          <w:i/>
          <w:iCs/>
          <w:lang w:val="pt-BR"/>
        </w:rPr>
        <w:t>(H)</w:t>
      </w:r>
      <w:r w:rsidRPr="002075B8">
        <w:rPr>
          <w:lang w:val="pt-BR"/>
        </w:rPr>
        <w:t xml:space="preserve"> = 1,0 g·mol</w:t>
      </w:r>
      <w:r w:rsidRPr="002075B8">
        <w:rPr>
          <w:vertAlign w:val="superscript"/>
          <w:lang w:val="pt-BR"/>
        </w:rPr>
        <w:t>–1</w:t>
      </w:r>
    </w:p>
    <w:p w14:paraId="4184D218" w14:textId="77777777" w:rsidR="009955E3" w:rsidRPr="002075B8" w:rsidRDefault="009955E3">
      <w:pPr>
        <w:pStyle w:val="ECEcorps"/>
        <w:rPr>
          <w:vertAlign w:val="superscript"/>
          <w:lang w:val="pt-BR"/>
        </w:rPr>
      </w:pPr>
    </w:p>
    <w:tbl>
      <w:tblPr>
        <w:tblStyle w:val="Grilledutableau"/>
        <w:tblW w:w="8625" w:type="dxa"/>
        <w:tblInd w:w="1009" w:type="dxa"/>
        <w:tblLayout w:type="fixed"/>
        <w:tblLook w:val="04A0" w:firstRow="1" w:lastRow="0" w:firstColumn="1" w:lastColumn="0" w:noHBand="0" w:noVBand="1"/>
      </w:tblPr>
      <w:tblGrid>
        <w:gridCol w:w="2516"/>
        <w:gridCol w:w="6109"/>
      </w:tblGrid>
      <w:tr w:rsidR="009955E3" w14:paraId="1B9F29D0" w14:textId="77777777" w:rsidTr="002075B8">
        <w:tc>
          <w:tcPr>
            <w:tcW w:w="2516" w:type="dxa"/>
            <w:shd w:val="clear" w:color="auto" w:fill="D9D9D9" w:themeFill="background1" w:themeFillShade="D9"/>
          </w:tcPr>
          <w:p w14:paraId="1F7CC0E8" w14:textId="302D772E" w:rsidR="009955E3" w:rsidRDefault="002075B8">
            <w:pPr>
              <w:pStyle w:val="ECEcorps"/>
              <w:jc w:val="center"/>
              <w:rPr>
                <w:b/>
              </w:rPr>
            </w:pPr>
            <w:r>
              <w:rPr>
                <w:b/>
              </w:rPr>
              <w:t>I</w:t>
            </w:r>
            <w:r w:rsidR="001E16C2">
              <w:rPr>
                <w:b/>
              </w:rPr>
              <w:t>on</w:t>
            </w:r>
          </w:p>
        </w:tc>
        <w:tc>
          <w:tcPr>
            <w:tcW w:w="6109" w:type="dxa"/>
            <w:shd w:val="clear" w:color="auto" w:fill="D9D9D9" w:themeFill="background1" w:themeFillShade="D9"/>
          </w:tcPr>
          <w:p w14:paraId="10014420" w14:textId="0A91449C" w:rsidR="009955E3" w:rsidRDefault="002075B8">
            <w:pPr>
              <w:pStyle w:val="ECEcorps"/>
              <w:jc w:val="center"/>
              <w:rPr>
                <w:b/>
              </w:rPr>
            </w:pPr>
            <w:r>
              <w:rPr>
                <w:b/>
              </w:rPr>
              <w:t>C</w:t>
            </w:r>
            <w:r w:rsidR="001E16C2">
              <w:rPr>
                <w:b/>
              </w:rPr>
              <w:t>onductivités ioniques molaires  à 25°C (en mS·m</w:t>
            </w:r>
            <w:r w:rsidR="001E16C2">
              <w:rPr>
                <w:b/>
                <w:vertAlign w:val="superscript"/>
              </w:rPr>
              <w:t>2</w:t>
            </w:r>
            <w:r w:rsidR="001E16C2">
              <w:rPr>
                <w:b/>
              </w:rPr>
              <w:t>·mol</w:t>
            </w:r>
            <w:r w:rsidR="001E16C2">
              <w:rPr>
                <w:b/>
                <w:vertAlign w:val="superscript"/>
              </w:rPr>
              <w:t>–1</w:t>
            </w:r>
            <w:r w:rsidR="001E16C2">
              <w:rPr>
                <w:b/>
              </w:rPr>
              <w:t xml:space="preserve">)  </w:t>
            </w:r>
          </w:p>
        </w:tc>
      </w:tr>
      <w:tr w:rsidR="009955E3" w14:paraId="7DACB1F6" w14:textId="77777777" w:rsidTr="002075B8">
        <w:tc>
          <w:tcPr>
            <w:tcW w:w="2516" w:type="dxa"/>
          </w:tcPr>
          <w:p w14:paraId="4413CE27" w14:textId="77777777" w:rsidR="009955E3" w:rsidRDefault="001E16C2">
            <w:pPr>
              <w:pStyle w:val="ECEcorps"/>
              <w:jc w:val="center"/>
            </w:pPr>
            <w:r>
              <w:t>HO</w:t>
            </w:r>
            <w:r>
              <w:rPr>
                <w:vertAlign w:val="superscript"/>
              </w:rPr>
              <w:t>–</w:t>
            </w:r>
          </w:p>
        </w:tc>
        <w:tc>
          <w:tcPr>
            <w:tcW w:w="6109" w:type="dxa"/>
          </w:tcPr>
          <w:p w14:paraId="46D893D8" w14:textId="77777777" w:rsidR="009955E3" w:rsidRDefault="001E16C2">
            <w:pPr>
              <w:pStyle w:val="ECEcorps"/>
              <w:jc w:val="center"/>
            </w:pPr>
            <w:r>
              <w:t>19,8</w:t>
            </w:r>
          </w:p>
        </w:tc>
      </w:tr>
      <w:tr w:rsidR="009955E3" w14:paraId="5E5BF280" w14:textId="77777777" w:rsidTr="002075B8">
        <w:tc>
          <w:tcPr>
            <w:tcW w:w="2516" w:type="dxa"/>
          </w:tcPr>
          <w:p w14:paraId="65342B2B" w14:textId="77777777" w:rsidR="009955E3" w:rsidRDefault="001E16C2">
            <w:pPr>
              <w:pStyle w:val="ECEcorps"/>
              <w:jc w:val="center"/>
            </w:pPr>
            <w:r>
              <w:t>NH</w:t>
            </w:r>
            <w:r>
              <w:rPr>
                <w:vertAlign w:val="subscript"/>
              </w:rPr>
              <w:t>4</w:t>
            </w:r>
            <w:r>
              <w:rPr>
                <w:vertAlign w:val="superscript"/>
              </w:rPr>
              <w:t>+</w:t>
            </w:r>
          </w:p>
        </w:tc>
        <w:tc>
          <w:tcPr>
            <w:tcW w:w="6109" w:type="dxa"/>
          </w:tcPr>
          <w:p w14:paraId="1D68F3C1" w14:textId="77777777" w:rsidR="009955E3" w:rsidRDefault="001E16C2">
            <w:pPr>
              <w:pStyle w:val="ECEcorps"/>
              <w:jc w:val="center"/>
            </w:pPr>
            <w:r>
              <w:t>7,35</w:t>
            </w:r>
          </w:p>
        </w:tc>
      </w:tr>
      <w:tr w:rsidR="009955E3" w14:paraId="28F984CA" w14:textId="77777777" w:rsidTr="002075B8">
        <w:trPr>
          <w:trHeight w:val="107"/>
        </w:trPr>
        <w:tc>
          <w:tcPr>
            <w:tcW w:w="2516" w:type="dxa"/>
          </w:tcPr>
          <w:p w14:paraId="08730BF8" w14:textId="77777777" w:rsidR="009955E3" w:rsidRDefault="001E16C2">
            <w:pPr>
              <w:pStyle w:val="ECEcorps"/>
              <w:tabs>
                <w:tab w:val="left" w:pos="2792"/>
              </w:tabs>
              <w:jc w:val="center"/>
            </w:pPr>
            <w:r>
              <w:t>SO</w:t>
            </w:r>
            <w:r>
              <w:rPr>
                <w:vertAlign w:val="subscript"/>
              </w:rPr>
              <w:t>4</w:t>
            </w:r>
            <w:r>
              <w:rPr>
                <w:vertAlign w:val="superscript"/>
              </w:rPr>
              <w:t>2–</w:t>
            </w:r>
          </w:p>
        </w:tc>
        <w:tc>
          <w:tcPr>
            <w:tcW w:w="6109" w:type="dxa"/>
          </w:tcPr>
          <w:p w14:paraId="409ED90C" w14:textId="77777777" w:rsidR="009955E3" w:rsidRDefault="001E16C2">
            <w:pPr>
              <w:pStyle w:val="ECEcorps"/>
              <w:tabs>
                <w:tab w:val="left" w:pos="1014"/>
              </w:tabs>
              <w:jc w:val="center"/>
            </w:pPr>
            <w:r>
              <w:t>16,0</w:t>
            </w:r>
          </w:p>
        </w:tc>
      </w:tr>
      <w:tr w:rsidR="009955E3" w14:paraId="207D958D" w14:textId="77777777" w:rsidTr="002075B8">
        <w:trPr>
          <w:trHeight w:val="106"/>
        </w:trPr>
        <w:tc>
          <w:tcPr>
            <w:tcW w:w="2516" w:type="dxa"/>
          </w:tcPr>
          <w:p w14:paraId="076814A6" w14:textId="77777777" w:rsidR="009955E3" w:rsidRDefault="001E16C2">
            <w:pPr>
              <w:pStyle w:val="ECEcorps"/>
              <w:tabs>
                <w:tab w:val="left" w:pos="2792"/>
              </w:tabs>
              <w:jc w:val="center"/>
            </w:pPr>
            <w:r>
              <w:t>Na</w:t>
            </w:r>
            <w:r>
              <w:rPr>
                <w:vertAlign w:val="superscript"/>
              </w:rPr>
              <w:t>+</w:t>
            </w:r>
          </w:p>
        </w:tc>
        <w:tc>
          <w:tcPr>
            <w:tcW w:w="6109" w:type="dxa"/>
          </w:tcPr>
          <w:p w14:paraId="3EECE0EC" w14:textId="77777777" w:rsidR="009955E3" w:rsidRDefault="001E16C2">
            <w:pPr>
              <w:pStyle w:val="ECEcorps"/>
              <w:jc w:val="center"/>
            </w:pPr>
            <w:r>
              <w:t>5,01</w:t>
            </w:r>
          </w:p>
        </w:tc>
      </w:tr>
      <w:tr w:rsidR="009955E3" w14:paraId="10289400" w14:textId="77777777" w:rsidTr="002075B8">
        <w:trPr>
          <w:trHeight w:val="106"/>
        </w:trPr>
        <w:tc>
          <w:tcPr>
            <w:tcW w:w="2516" w:type="dxa"/>
          </w:tcPr>
          <w:p w14:paraId="0CDF1792" w14:textId="77777777" w:rsidR="009955E3" w:rsidRDefault="001E16C2">
            <w:pPr>
              <w:pStyle w:val="ECEcorps"/>
              <w:tabs>
                <w:tab w:val="left" w:pos="2792"/>
              </w:tabs>
              <w:jc w:val="center"/>
            </w:pPr>
            <w:r>
              <w:t>H</w:t>
            </w:r>
            <w:r>
              <w:rPr>
                <w:vertAlign w:val="subscript"/>
              </w:rPr>
              <w:t>3</w:t>
            </w:r>
            <w:r>
              <w:t>O</w:t>
            </w:r>
            <w:r>
              <w:rPr>
                <w:vertAlign w:val="superscript"/>
              </w:rPr>
              <w:t>+</w:t>
            </w:r>
          </w:p>
        </w:tc>
        <w:tc>
          <w:tcPr>
            <w:tcW w:w="6109" w:type="dxa"/>
          </w:tcPr>
          <w:p w14:paraId="6597EB3E" w14:textId="77777777" w:rsidR="009955E3" w:rsidRDefault="001E16C2">
            <w:pPr>
              <w:pStyle w:val="ECEcorps"/>
              <w:jc w:val="center"/>
            </w:pPr>
            <w:r>
              <w:t>35</w:t>
            </w:r>
          </w:p>
        </w:tc>
      </w:tr>
    </w:tbl>
    <w:p w14:paraId="7FC27BBE" w14:textId="77777777" w:rsidR="009955E3" w:rsidRDefault="009955E3">
      <w:pPr>
        <w:pStyle w:val="ECEcorps"/>
        <w:jc w:val="center"/>
      </w:pPr>
    </w:p>
    <w:p w14:paraId="63122D9E" w14:textId="77777777" w:rsidR="009955E3" w:rsidRDefault="009955E3">
      <w:pPr>
        <w:pStyle w:val="ECEcorps"/>
      </w:pPr>
    </w:p>
    <w:tbl>
      <w:tblPr>
        <w:tblStyle w:val="Grilledutableau"/>
        <w:tblW w:w="3507" w:type="dxa"/>
        <w:jc w:val="center"/>
        <w:tblLayout w:type="fixed"/>
        <w:tblLook w:val="04A0" w:firstRow="1" w:lastRow="0" w:firstColumn="1" w:lastColumn="0" w:noHBand="0" w:noVBand="1"/>
      </w:tblPr>
      <w:tblGrid>
        <w:gridCol w:w="2496"/>
        <w:gridCol w:w="1011"/>
      </w:tblGrid>
      <w:tr w:rsidR="009955E3" w14:paraId="30804D39" w14:textId="77777777">
        <w:trPr>
          <w:jc w:val="center"/>
        </w:trPr>
        <w:tc>
          <w:tcPr>
            <w:tcW w:w="2495" w:type="dxa"/>
            <w:shd w:val="clear" w:color="auto" w:fill="D9D9D9" w:themeFill="background1" w:themeFillShade="D9"/>
            <w:vAlign w:val="center"/>
          </w:tcPr>
          <w:p w14:paraId="4B6D0181" w14:textId="77777777" w:rsidR="009955E3" w:rsidRDefault="001E16C2">
            <w:pPr>
              <w:pStyle w:val="Sansinterligne"/>
              <w:jc w:val="center"/>
              <w:rPr>
                <w:rFonts w:ascii="Arial" w:hAnsi="Arial" w:cs="Arial"/>
                <w:b/>
              </w:rPr>
            </w:pPr>
            <w:r>
              <w:rPr>
                <w:rFonts w:ascii="Arial" w:hAnsi="Arial" w:cs="Arial"/>
                <w:b/>
              </w:rPr>
              <w:t>Couple</w:t>
            </w:r>
          </w:p>
        </w:tc>
        <w:tc>
          <w:tcPr>
            <w:tcW w:w="1011" w:type="dxa"/>
            <w:shd w:val="clear" w:color="auto" w:fill="D9D9D9" w:themeFill="background1" w:themeFillShade="D9"/>
            <w:vAlign w:val="center"/>
          </w:tcPr>
          <w:p w14:paraId="2FDF9C6A" w14:textId="77777777" w:rsidR="009955E3" w:rsidRDefault="001E16C2">
            <w:pPr>
              <w:pStyle w:val="Sansinterligne"/>
              <w:jc w:val="center"/>
              <w:rPr>
                <w:rFonts w:ascii="Arial" w:hAnsi="Arial" w:cs="Arial"/>
                <w:b/>
                <w:i/>
                <w:iCs/>
              </w:rPr>
            </w:pPr>
            <w:r>
              <w:rPr>
                <w:rFonts w:ascii="Arial" w:hAnsi="Arial" w:cs="Arial"/>
                <w:b/>
                <w:i/>
                <w:iCs/>
              </w:rPr>
              <w:t>pK</w:t>
            </w:r>
            <w:r>
              <w:rPr>
                <w:rFonts w:ascii="Arial" w:hAnsi="Arial" w:cs="Arial"/>
                <w:b/>
                <w:i/>
                <w:iCs/>
                <w:vertAlign w:val="subscript"/>
              </w:rPr>
              <w:t>A</w:t>
            </w:r>
          </w:p>
        </w:tc>
      </w:tr>
      <w:tr w:rsidR="009955E3" w14:paraId="1DA663F0" w14:textId="77777777">
        <w:trPr>
          <w:jc w:val="center"/>
        </w:trPr>
        <w:tc>
          <w:tcPr>
            <w:tcW w:w="2495" w:type="dxa"/>
            <w:vAlign w:val="center"/>
          </w:tcPr>
          <w:p w14:paraId="451F5ED2" w14:textId="77777777" w:rsidR="009955E3" w:rsidRDefault="001E16C2">
            <w:pPr>
              <w:pStyle w:val="Sansinterligne"/>
              <w:jc w:val="center"/>
              <w:rPr>
                <w:rFonts w:ascii="Arial" w:hAnsi="Arial" w:cs="Arial"/>
              </w:rPr>
            </w:pPr>
            <w:r>
              <w:rPr>
                <w:rFonts w:ascii="Arial" w:hAnsi="Arial" w:cs="Arial"/>
              </w:rPr>
              <w:t>NH</w:t>
            </w:r>
            <w:r>
              <w:rPr>
                <w:rFonts w:ascii="Arial" w:hAnsi="Arial" w:cs="Arial"/>
                <w:vertAlign w:val="subscript"/>
              </w:rPr>
              <w:t>4</w:t>
            </w:r>
            <w:r>
              <w:rPr>
                <w:rFonts w:ascii="Arial" w:hAnsi="Arial" w:cs="Arial"/>
                <w:vertAlign w:val="superscript"/>
              </w:rPr>
              <w:t>+</w:t>
            </w:r>
            <w:r>
              <w:rPr>
                <w:rFonts w:ascii="Arial" w:hAnsi="Arial" w:cs="Arial"/>
              </w:rPr>
              <w:t>(aq)</w:t>
            </w:r>
            <w:r>
              <w:rPr>
                <w:rFonts w:ascii="Arial" w:hAnsi="Arial" w:cs="Arial"/>
                <w:vertAlign w:val="subscript"/>
              </w:rPr>
              <w:t xml:space="preserve"> </w:t>
            </w:r>
            <w:r>
              <w:rPr>
                <w:rFonts w:ascii="Arial" w:hAnsi="Arial" w:cs="Arial"/>
              </w:rPr>
              <w:t>/ NH</w:t>
            </w:r>
            <w:r>
              <w:rPr>
                <w:rFonts w:ascii="Arial" w:hAnsi="Arial" w:cs="Arial"/>
                <w:vertAlign w:val="subscript"/>
              </w:rPr>
              <w:t>3</w:t>
            </w:r>
            <w:r>
              <w:rPr>
                <w:rFonts w:ascii="Arial" w:hAnsi="Arial" w:cs="Arial"/>
              </w:rPr>
              <w:t>(aq)</w:t>
            </w:r>
          </w:p>
        </w:tc>
        <w:tc>
          <w:tcPr>
            <w:tcW w:w="1011" w:type="dxa"/>
            <w:vAlign w:val="center"/>
          </w:tcPr>
          <w:p w14:paraId="5F857355" w14:textId="77777777" w:rsidR="009955E3" w:rsidRDefault="001E16C2">
            <w:pPr>
              <w:pStyle w:val="Sansinterligne"/>
              <w:jc w:val="center"/>
              <w:rPr>
                <w:rFonts w:ascii="Arial" w:hAnsi="Arial" w:cs="Arial"/>
                <w:sz w:val="20"/>
                <w:szCs w:val="20"/>
              </w:rPr>
            </w:pPr>
            <w:r>
              <w:rPr>
                <w:rFonts w:ascii="Arial" w:hAnsi="Arial" w:cs="Arial"/>
                <w:sz w:val="20"/>
                <w:szCs w:val="20"/>
              </w:rPr>
              <w:t>9,20</w:t>
            </w:r>
          </w:p>
        </w:tc>
      </w:tr>
      <w:tr w:rsidR="009955E3" w14:paraId="540AD106" w14:textId="77777777">
        <w:trPr>
          <w:jc w:val="center"/>
        </w:trPr>
        <w:tc>
          <w:tcPr>
            <w:tcW w:w="2495" w:type="dxa"/>
            <w:vAlign w:val="center"/>
          </w:tcPr>
          <w:p w14:paraId="1354C2C9" w14:textId="2A529D98" w:rsidR="009955E3" w:rsidRDefault="001E16C2">
            <w:pPr>
              <w:pStyle w:val="Sansinterligne"/>
              <w:jc w:val="center"/>
            </w:pPr>
            <w:r>
              <w:t>H</w:t>
            </w:r>
            <w:r>
              <w:rPr>
                <w:vertAlign w:val="subscript"/>
              </w:rPr>
              <w:t>2</w:t>
            </w:r>
            <w:r>
              <w:t>O(</w:t>
            </w:r>
            <w:r w:rsidR="002075B8">
              <w:rPr>
                <w:rFonts w:ascii="Mistral" w:hAnsi="Mistral"/>
                <w:bCs/>
              </w:rPr>
              <w:t>ℓ</w:t>
            </w:r>
            <w:r>
              <w:t>)</w:t>
            </w:r>
            <w:r>
              <w:rPr>
                <w:vertAlign w:val="subscript"/>
              </w:rPr>
              <w:t xml:space="preserve"> </w:t>
            </w:r>
            <w:r>
              <w:t>/ HO</w:t>
            </w:r>
            <w:r>
              <w:rPr>
                <w:vertAlign w:val="superscript"/>
              </w:rPr>
              <w:t>–</w:t>
            </w:r>
            <w:r>
              <w:t>(aq)</w:t>
            </w:r>
          </w:p>
        </w:tc>
        <w:tc>
          <w:tcPr>
            <w:tcW w:w="1011" w:type="dxa"/>
            <w:vAlign w:val="center"/>
          </w:tcPr>
          <w:p w14:paraId="35C14F45" w14:textId="77777777" w:rsidR="009955E3" w:rsidRDefault="001E16C2">
            <w:pPr>
              <w:pStyle w:val="Sansinterligne"/>
              <w:jc w:val="center"/>
              <w:rPr>
                <w:rFonts w:ascii="Arial" w:hAnsi="Arial" w:cs="Arial"/>
                <w:sz w:val="20"/>
                <w:szCs w:val="20"/>
              </w:rPr>
            </w:pPr>
            <w:r>
              <w:rPr>
                <w:rFonts w:ascii="Arial" w:hAnsi="Arial" w:cs="Arial"/>
                <w:sz w:val="20"/>
                <w:szCs w:val="20"/>
              </w:rPr>
              <w:t>14,0</w:t>
            </w:r>
          </w:p>
        </w:tc>
      </w:tr>
    </w:tbl>
    <w:p w14:paraId="3E01AD8B" w14:textId="77777777" w:rsidR="00DF6AB7" w:rsidRDefault="00DF6AB7">
      <w:pPr>
        <w:pStyle w:val="ECEtitre"/>
        <w:rPr>
          <w:sz w:val="24"/>
          <w:szCs w:val="24"/>
        </w:rPr>
      </w:pPr>
    </w:p>
    <w:p w14:paraId="616B8995" w14:textId="77777777" w:rsidR="00DF6AB7" w:rsidRDefault="00DF6AB7">
      <w:pPr>
        <w:pStyle w:val="ECEtitre"/>
        <w:rPr>
          <w:sz w:val="24"/>
          <w:szCs w:val="24"/>
        </w:rPr>
      </w:pPr>
    </w:p>
    <w:p w14:paraId="7589FC08" w14:textId="77777777" w:rsidR="009955E3" w:rsidRDefault="001E16C2">
      <w:pPr>
        <w:pStyle w:val="ECEtitre"/>
        <w:rPr>
          <w:sz w:val="24"/>
          <w:szCs w:val="24"/>
        </w:rPr>
      </w:pPr>
      <w:r>
        <w:rPr>
          <w:sz w:val="24"/>
          <w:szCs w:val="24"/>
        </w:rPr>
        <w:lastRenderedPageBreak/>
        <w:t xml:space="preserve">TRAVAIL À EFFECTUER </w:t>
      </w:r>
    </w:p>
    <w:p w14:paraId="4996B61E" w14:textId="77777777" w:rsidR="009955E3" w:rsidRDefault="009955E3">
      <w:pPr>
        <w:rPr>
          <w:b/>
          <w:bCs/>
          <w:color w:val="auto"/>
          <w:u w:val="single"/>
        </w:rPr>
      </w:pPr>
    </w:p>
    <w:p w14:paraId="35D57670" w14:textId="77777777" w:rsidR="009955E3" w:rsidRDefault="001E16C2">
      <w:pPr>
        <w:pStyle w:val="ECEpartie"/>
        <w:numPr>
          <w:ilvl w:val="0"/>
          <w:numId w:val="5"/>
        </w:numPr>
      </w:pPr>
      <w:bookmarkStart w:id="3" w:name="_Toc21434906"/>
      <w:bookmarkStart w:id="4" w:name="_Toc500182691"/>
      <w:bookmarkStart w:id="5" w:name="_Toc482638814"/>
      <w:r>
        <w:t>Choix d’une méthode de suiv</w:t>
      </w:r>
      <w:bookmarkEnd w:id="3"/>
      <w:r>
        <w:t xml:space="preserve">i </w:t>
      </w:r>
      <w:r>
        <w:rPr>
          <w:b w:val="0"/>
        </w:rPr>
        <w:t>(20 minutes conseillées)</w:t>
      </w:r>
      <w:bookmarkEnd w:id="4"/>
      <w:bookmarkEnd w:id="5"/>
    </w:p>
    <w:p w14:paraId="592D82D9" w14:textId="77777777" w:rsidR="009955E3" w:rsidRDefault="001E16C2">
      <w:pPr>
        <w:pStyle w:val="ECErponse"/>
        <w:rPr>
          <w:iCs/>
        </w:rPr>
      </w:pPr>
      <w:r>
        <w:rPr>
          <w:iCs/>
        </w:rPr>
        <w:t xml:space="preserve">1.1 Écrire l’équation de </w:t>
      </w:r>
      <w:r>
        <w:t>la réaction support du dosage des ions ammonium par la solution d’hydroxyde de sodium</w:t>
      </w:r>
      <w:r>
        <w:rPr>
          <w:iCs/>
        </w:rPr>
        <w:t>.</w:t>
      </w:r>
    </w:p>
    <w:p w14:paraId="4201A8B5" w14:textId="77777777" w:rsidR="009955E3" w:rsidRDefault="009955E3">
      <w:pPr>
        <w:pStyle w:val="ECEcorps"/>
      </w:pPr>
    </w:p>
    <w:p w14:paraId="54B1F47B" w14:textId="77777777" w:rsidR="009955E3" w:rsidRDefault="001E16C2">
      <w:pPr>
        <w:pStyle w:val="ECEcorps"/>
      </w:pPr>
      <w:r>
        <w:t>…………………………………………………………………………………………………..……….………..………………..</w:t>
      </w:r>
    </w:p>
    <w:p w14:paraId="49FCEC86" w14:textId="77777777" w:rsidR="009955E3" w:rsidRDefault="001E16C2">
      <w:pPr>
        <w:pStyle w:val="ECErponse"/>
      </w:pPr>
      <w:r>
        <w:t xml:space="preserve">1.2 À l’aide des documents et de l’application Dozzzaqueux, choisir une méthode de suivi adaptée pour le dosage des ions ammonium dans la solution d’engrais. On prendra les concentrations suivantes pour la modélisation : </w:t>
      </w:r>
    </w:p>
    <w:p w14:paraId="070AA25B" w14:textId="77777777" w:rsidR="009955E3" w:rsidRPr="002075B8" w:rsidRDefault="00173D03">
      <w:pPr>
        <w:pStyle w:val="ECErponse"/>
        <w:jc w:val="center"/>
      </w:pPr>
      <m:oMathPara>
        <m:oMathParaPr>
          <m:jc m:val="center"/>
        </m:oMathParaPr>
        <m:oMath>
          <m:d>
            <m:dPr>
              <m:begChr m:val="["/>
              <m:endChr m:val="]"/>
              <m:ctrlPr>
                <w:rPr>
                  <w:rFonts w:ascii="Cambria Math" w:hAnsi="Cambria Math"/>
                </w:rPr>
              </m:ctrlPr>
            </m:dPr>
            <m:e>
              <m:r>
                <m:rPr>
                  <m:lit/>
                  <m:nor/>
                </m:rPr>
                <m:t>N</m:t>
              </m:r>
              <m:sSubSup>
                <m:sSubSupPr>
                  <m:ctrlPr>
                    <w:rPr>
                      <w:rFonts w:ascii="Cambria Math" w:hAnsi="Cambria Math"/>
                    </w:rPr>
                  </m:ctrlPr>
                </m:sSubSupPr>
                <m:e>
                  <m:r>
                    <m:rPr>
                      <m:lit/>
                      <m:nor/>
                    </m:rPr>
                    <m:t>H</m:t>
                  </m:r>
                </m:e>
                <m:sub>
                  <m:r>
                    <m:rPr>
                      <m:lit/>
                      <m:nor/>
                    </m:rPr>
                    <m:t>4</m:t>
                  </m:r>
                </m:sub>
                <m:sup>
                  <m:r>
                    <m:rPr>
                      <m:lit/>
                      <m:nor/>
                    </m:rPr>
                    <m:t>+</m:t>
                  </m:r>
                </m:sup>
              </m:sSubSup>
            </m:e>
          </m:d>
          <m:r>
            <m:rPr>
              <m:lit/>
              <m:nor/>
            </m:rPr>
            <m:t xml:space="preserve"> =</m:t>
          </m:r>
          <m:sSup>
            <m:sSupPr>
              <m:ctrlPr>
                <w:rPr>
                  <w:rFonts w:ascii="Cambria Math" w:hAnsi="Cambria Math"/>
                </w:rPr>
              </m:ctrlPr>
            </m:sSupPr>
            <m:e>
              <m:r>
                <m:rPr>
                  <m:lit/>
                  <m:nor/>
                </m:rPr>
                <m:t xml:space="preserve"> 1,00×10</m:t>
              </m:r>
            </m:e>
            <m:sup>
              <m:r>
                <m:rPr>
                  <m:lit/>
                  <m:nor/>
                </m:rPr>
                <m:t>–2</m:t>
              </m:r>
            </m:sup>
          </m:sSup>
          <m:r>
            <m:rPr>
              <m:lit/>
              <m:nor/>
            </m:rPr>
            <m:t xml:space="preserve"> mol·</m:t>
          </m:r>
          <m:sSup>
            <m:sSupPr>
              <m:ctrlPr>
                <w:rPr>
                  <w:rFonts w:ascii="Cambria Math" w:hAnsi="Cambria Math"/>
                </w:rPr>
              </m:ctrlPr>
            </m:sSupPr>
            <m:e>
              <m:r>
                <m:rPr>
                  <m:lit/>
                  <m:nor/>
                </m:rPr>
                <m:t>L</m:t>
              </m:r>
            </m:e>
            <m:sup>
              <m:r>
                <m:rPr>
                  <m:lit/>
                  <m:nor/>
                </m:rPr>
                <m:t>–1</m:t>
              </m:r>
            </m:sup>
          </m:sSup>
          <m:r>
            <m:rPr>
              <m:lit/>
              <m:nor/>
            </m:rPr>
            <m:t xml:space="preserve"> et  </m:t>
          </m:r>
          <m:d>
            <m:dPr>
              <m:begChr m:val="["/>
              <m:endChr m:val="]"/>
              <m:ctrlPr>
                <w:rPr>
                  <w:rFonts w:ascii="Cambria Math" w:hAnsi="Cambria Math"/>
                </w:rPr>
              </m:ctrlPr>
            </m:dPr>
            <m:e>
              <m:r>
                <m:rPr>
                  <m:lit/>
                  <m:nor/>
                </m:rPr>
                <m:t>H</m:t>
              </m:r>
              <m:sSup>
                <m:sSupPr>
                  <m:ctrlPr>
                    <w:rPr>
                      <w:rFonts w:ascii="Cambria Math" w:hAnsi="Cambria Math"/>
                    </w:rPr>
                  </m:ctrlPr>
                </m:sSupPr>
                <m:e>
                  <m:r>
                    <m:rPr>
                      <m:lit/>
                      <m:nor/>
                    </m:rPr>
                    <m:t>O</m:t>
                  </m:r>
                </m:e>
                <m:sup>
                  <m:r>
                    <m:rPr>
                      <m:lit/>
                      <m:nor/>
                    </m:rPr>
                    <m:t>–</m:t>
                  </m:r>
                </m:sup>
              </m:sSup>
            </m:e>
          </m:d>
          <m:r>
            <m:rPr>
              <m:lit/>
              <m:nor/>
            </m:rPr>
            <m:t xml:space="preserve"> =</m:t>
          </m:r>
          <m:sSup>
            <m:sSupPr>
              <m:ctrlPr>
                <w:rPr>
                  <w:rFonts w:ascii="Cambria Math" w:hAnsi="Cambria Math"/>
                </w:rPr>
              </m:ctrlPr>
            </m:sSupPr>
            <m:e>
              <m:r>
                <m:rPr>
                  <m:lit/>
                  <m:nor/>
                </m:rPr>
                <m:t xml:space="preserve"> 1,00×10</m:t>
              </m:r>
            </m:e>
            <m:sup>
              <m:r>
                <m:rPr>
                  <m:lit/>
                  <m:nor/>
                </m:rPr>
                <m:t>–2</m:t>
              </m:r>
            </m:sup>
          </m:sSup>
          <m:r>
            <m:rPr>
              <m:lit/>
              <m:nor/>
            </m:rPr>
            <m:t xml:space="preserve"> mol·</m:t>
          </m:r>
          <m:sSup>
            <m:sSupPr>
              <m:ctrlPr>
                <w:rPr>
                  <w:rFonts w:ascii="Cambria Math" w:hAnsi="Cambria Math"/>
                </w:rPr>
              </m:ctrlPr>
            </m:sSupPr>
            <m:e>
              <m:r>
                <m:rPr>
                  <m:lit/>
                  <m:nor/>
                </m:rPr>
                <m:t>L</m:t>
              </m:r>
            </m:e>
            <m:sup>
              <m:r>
                <m:rPr>
                  <m:lit/>
                  <m:nor/>
                </m:rPr>
                <m:t>–1</m:t>
              </m:r>
            </m:sup>
          </m:sSup>
        </m:oMath>
      </m:oMathPara>
    </w:p>
    <w:p w14:paraId="3E033016" w14:textId="77777777" w:rsidR="009955E3" w:rsidRDefault="001E16C2">
      <w:pPr>
        <w:pStyle w:val="ECErponse"/>
      </w:pPr>
      <w:r>
        <w:rPr>
          <w:i/>
        </w:rPr>
        <w:t>…………………………………………………………………………………………………..……….………..………………..</w:t>
      </w:r>
    </w:p>
    <w:p w14:paraId="1B588A38" w14:textId="77777777" w:rsidR="009955E3" w:rsidRDefault="001E16C2">
      <w:pPr>
        <w:pStyle w:val="ECErponse"/>
      </w:pPr>
      <w:r>
        <w:t>…………………………………………………………………………………………………..……….………..………………..</w:t>
      </w:r>
    </w:p>
    <w:p w14:paraId="2EBB5219" w14:textId="77777777" w:rsidR="009955E3" w:rsidRDefault="001E16C2">
      <w:pPr>
        <w:pStyle w:val="ECErponse"/>
        <w:spacing w:after="240"/>
      </w:pPr>
      <w:r>
        <w:t>…………………………………………………………………………………………………..……….………..………………..</w:t>
      </w:r>
    </w:p>
    <w:p w14:paraId="6349550F" w14:textId="77777777" w:rsidR="009955E3" w:rsidRDefault="001E16C2">
      <w:pPr>
        <w:pStyle w:val="ECErponse"/>
        <w:spacing w:after="240"/>
      </w:pPr>
      <w:r>
        <w:t>…………………………………………………………………………………………………..……….………..………………..</w:t>
      </w:r>
    </w:p>
    <w:p w14:paraId="0F510156" w14:textId="77777777" w:rsidR="009955E3" w:rsidRDefault="001E16C2">
      <w:pPr>
        <w:pStyle w:val="ECEcorps"/>
      </w:pPr>
      <w:r>
        <w:t>…………………………………………………………………………………………………..……….………..………………..</w:t>
      </w:r>
    </w:p>
    <w:p w14:paraId="31ACEE66" w14:textId="77777777" w:rsidR="009955E3" w:rsidRDefault="001E16C2">
      <w:pPr>
        <w:pStyle w:val="ECErponse"/>
        <w:spacing w:after="240"/>
      </w:pPr>
      <w:r>
        <w:t>…………………………………………………………………………………………………..……….………..………………..</w:t>
      </w:r>
    </w:p>
    <w:p w14:paraId="524294B2" w14:textId="77777777" w:rsidR="009955E3" w:rsidRDefault="001E16C2">
      <w:pPr>
        <w:pStyle w:val="ECErponse"/>
        <w:spacing w:after="240"/>
      </w:pPr>
      <w:r>
        <w:t>…………………………………………………………………………………………………..……….………..………………..</w:t>
      </w:r>
    </w:p>
    <w:p w14:paraId="5F4F621B" w14:textId="77777777" w:rsidR="009955E3" w:rsidRDefault="001E16C2">
      <w:pPr>
        <w:pStyle w:val="ECEcorps"/>
      </w:pPr>
      <w:r>
        <w:t>…………………………………………………………………………………………………..……….………..………………..</w:t>
      </w:r>
    </w:p>
    <w:p w14:paraId="03737FCD" w14:textId="77777777" w:rsidR="009955E3" w:rsidRDefault="009955E3">
      <w:pPr>
        <w:pStyle w:val="ECEcorps"/>
      </w:pPr>
    </w:p>
    <w:p w14:paraId="00FA94B9" w14:textId="77777777" w:rsidR="009955E3" w:rsidRDefault="009955E3">
      <w:pPr>
        <w:pStyle w:val="ECEcorps"/>
      </w:pPr>
    </w:p>
    <w:tbl>
      <w:tblPr>
        <w:tblStyle w:val="Grilledutableau"/>
        <w:tblW w:w="9640" w:type="dxa"/>
        <w:jc w:val="center"/>
        <w:tblLayout w:type="fixed"/>
        <w:tblCellMar>
          <w:top w:w="57" w:type="dxa"/>
          <w:left w:w="57" w:type="dxa"/>
          <w:bottom w:w="57" w:type="dxa"/>
          <w:right w:w="57" w:type="dxa"/>
        </w:tblCellMar>
        <w:tblLook w:val="04A0" w:firstRow="1" w:lastRow="0" w:firstColumn="1" w:lastColumn="0" w:noHBand="0" w:noVBand="1"/>
      </w:tblPr>
      <w:tblGrid>
        <w:gridCol w:w="1418"/>
        <w:gridCol w:w="6803"/>
        <w:gridCol w:w="1419"/>
      </w:tblGrid>
      <w:tr w:rsidR="009955E3" w14:paraId="5C60CBA5" w14:textId="77777777">
        <w:trPr>
          <w:jc w:val="center"/>
        </w:trPr>
        <w:tc>
          <w:tcPr>
            <w:tcW w:w="1418" w:type="dxa"/>
            <w:tcBorders>
              <w:top w:val="single" w:sz="18" w:space="0" w:color="000000"/>
              <w:left w:val="single" w:sz="18" w:space="0" w:color="000000"/>
              <w:bottom w:val="single" w:sz="6" w:space="0" w:color="000000"/>
              <w:right w:val="nil"/>
            </w:tcBorders>
            <w:shd w:val="clear" w:color="auto" w:fill="D9D9D9"/>
            <w:vAlign w:val="center"/>
          </w:tcPr>
          <w:p w14:paraId="282827FE" w14:textId="77777777" w:rsidR="009955E3" w:rsidRDefault="009955E3">
            <w:pPr>
              <w:jc w:val="center"/>
              <w:rPr>
                <w:bCs/>
                <w:color w:val="auto"/>
                <w:szCs w:val="22"/>
              </w:rPr>
            </w:pPr>
          </w:p>
        </w:tc>
        <w:tc>
          <w:tcPr>
            <w:tcW w:w="6803" w:type="dxa"/>
            <w:tcBorders>
              <w:top w:val="single" w:sz="18" w:space="0" w:color="000000"/>
              <w:left w:val="nil"/>
              <w:bottom w:val="single" w:sz="6" w:space="0" w:color="000000"/>
              <w:right w:val="nil"/>
            </w:tcBorders>
            <w:shd w:val="clear" w:color="auto" w:fill="D9D9D9"/>
            <w:vAlign w:val="center"/>
          </w:tcPr>
          <w:p w14:paraId="27930A40" w14:textId="77777777" w:rsidR="009955E3" w:rsidRDefault="001E16C2">
            <w:pPr>
              <w:pStyle w:val="ECEappel"/>
            </w:pPr>
            <w:r>
              <w:t>APPEL n°1</w:t>
            </w:r>
          </w:p>
        </w:tc>
        <w:tc>
          <w:tcPr>
            <w:tcW w:w="1419" w:type="dxa"/>
            <w:tcBorders>
              <w:top w:val="single" w:sz="18" w:space="0" w:color="000000"/>
              <w:left w:val="nil"/>
              <w:bottom w:val="single" w:sz="6" w:space="0" w:color="000000"/>
              <w:right w:val="single" w:sz="18" w:space="0" w:color="000000"/>
            </w:tcBorders>
            <w:shd w:val="clear" w:color="auto" w:fill="D9D9D9"/>
            <w:vAlign w:val="center"/>
          </w:tcPr>
          <w:p w14:paraId="4EFD0976" w14:textId="77777777" w:rsidR="009955E3" w:rsidRDefault="009955E3">
            <w:pPr>
              <w:jc w:val="center"/>
              <w:rPr>
                <w:bCs/>
                <w:color w:val="auto"/>
                <w:szCs w:val="22"/>
              </w:rPr>
            </w:pPr>
          </w:p>
        </w:tc>
      </w:tr>
      <w:tr w:rsidR="009955E3" w14:paraId="75C4C46B" w14:textId="77777777">
        <w:trPr>
          <w:jc w:val="center"/>
        </w:trPr>
        <w:tc>
          <w:tcPr>
            <w:tcW w:w="1418" w:type="dxa"/>
            <w:tcBorders>
              <w:top w:val="single" w:sz="6" w:space="0" w:color="000000"/>
              <w:left w:val="single" w:sz="18" w:space="0" w:color="000000"/>
              <w:bottom w:val="single" w:sz="18" w:space="0" w:color="000000"/>
              <w:right w:val="single" w:sz="6" w:space="0" w:color="000000"/>
            </w:tcBorders>
            <w:vAlign w:val="center"/>
          </w:tcPr>
          <w:p w14:paraId="08715DF3" w14:textId="77777777" w:rsidR="009955E3" w:rsidRDefault="001E16C2">
            <w:pPr>
              <w:jc w:val="center"/>
              <w:rPr>
                <w:bCs/>
                <w:color w:val="auto"/>
                <w:sz w:val="96"/>
                <w:szCs w:val="96"/>
              </w:rPr>
            </w:pPr>
            <w:r>
              <w:rPr>
                <w:rFonts w:ascii="Wingdings" w:eastAsia="Wingdings" w:hAnsi="Wingdings" w:cs="Wingdings"/>
                <w:bCs/>
                <w:color w:val="auto"/>
                <w:sz w:val="96"/>
                <w:szCs w:val="96"/>
              </w:rPr>
              <w:t></w:t>
            </w:r>
          </w:p>
        </w:tc>
        <w:tc>
          <w:tcPr>
            <w:tcW w:w="6803" w:type="dxa"/>
            <w:tcBorders>
              <w:top w:val="single" w:sz="6" w:space="0" w:color="000000"/>
              <w:left w:val="single" w:sz="6" w:space="0" w:color="000000"/>
              <w:bottom w:val="single" w:sz="18" w:space="0" w:color="000000"/>
              <w:right w:val="single" w:sz="6" w:space="0" w:color="000000"/>
            </w:tcBorders>
            <w:vAlign w:val="center"/>
          </w:tcPr>
          <w:p w14:paraId="002DE110" w14:textId="77777777" w:rsidR="009955E3" w:rsidRDefault="001E16C2">
            <w:pPr>
              <w:pStyle w:val="ECEappel"/>
            </w:pPr>
            <w:r>
              <w:t>Appeler le professeur pour lui présenter la méthode choisie</w:t>
            </w:r>
          </w:p>
          <w:p w14:paraId="7B1FD59C" w14:textId="77777777" w:rsidR="009955E3" w:rsidRDefault="001E16C2">
            <w:pPr>
              <w:pStyle w:val="ECEappel"/>
              <w:rPr>
                <w:bCs/>
                <w:szCs w:val="22"/>
              </w:rPr>
            </w:pPr>
            <w:r>
              <w:t>ou en cas de difficulté</w:t>
            </w:r>
          </w:p>
        </w:tc>
        <w:tc>
          <w:tcPr>
            <w:tcW w:w="1419" w:type="dxa"/>
            <w:tcBorders>
              <w:top w:val="single" w:sz="6" w:space="0" w:color="000000"/>
              <w:left w:val="single" w:sz="6" w:space="0" w:color="000000"/>
              <w:bottom w:val="single" w:sz="18" w:space="0" w:color="000000"/>
              <w:right w:val="single" w:sz="18" w:space="0" w:color="000000"/>
            </w:tcBorders>
            <w:vAlign w:val="center"/>
          </w:tcPr>
          <w:p w14:paraId="0F52C7B9" w14:textId="77777777" w:rsidR="009955E3" w:rsidRDefault="001E16C2">
            <w:pPr>
              <w:jc w:val="center"/>
              <w:rPr>
                <w:bCs/>
                <w:color w:val="auto"/>
                <w:szCs w:val="22"/>
              </w:rPr>
            </w:pPr>
            <w:r>
              <w:rPr>
                <w:rFonts w:ascii="Wingdings" w:eastAsia="Wingdings" w:hAnsi="Wingdings" w:cs="Wingdings"/>
                <w:bCs/>
                <w:color w:val="auto"/>
                <w:sz w:val="96"/>
                <w:szCs w:val="96"/>
              </w:rPr>
              <w:t></w:t>
            </w:r>
          </w:p>
        </w:tc>
      </w:tr>
    </w:tbl>
    <w:p w14:paraId="18B03043" w14:textId="77777777" w:rsidR="009955E3" w:rsidRDefault="009955E3">
      <w:pPr>
        <w:pStyle w:val="ECEcorps"/>
        <w:rPr>
          <w:iCs/>
        </w:rPr>
      </w:pPr>
    </w:p>
    <w:p w14:paraId="3A3849B1" w14:textId="77777777" w:rsidR="009955E3" w:rsidRDefault="009955E3">
      <w:pPr>
        <w:pStyle w:val="ECEcorps"/>
        <w:rPr>
          <w:iCs/>
        </w:rPr>
      </w:pPr>
    </w:p>
    <w:p w14:paraId="1C6FCC7E" w14:textId="77777777" w:rsidR="009955E3" w:rsidRDefault="001E16C2">
      <w:pPr>
        <w:pStyle w:val="ECEcorps"/>
      </w:pPr>
      <w:r>
        <w:rPr>
          <w:iCs/>
        </w:rPr>
        <w:t>1.3 Proposer un protocole mettant en œuvre la méthode de dosage choisie. Le protocole peut être proposé sous forme d’un schéma légendé.</w:t>
      </w:r>
    </w:p>
    <w:p w14:paraId="0804B24D" w14:textId="77777777" w:rsidR="009955E3" w:rsidRDefault="001E16C2">
      <w:pPr>
        <w:pStyle w:val="ECErponse"/>
      </w:pPr>
      <w:r>
        <w:t>…………………………………………………………………………………………………..……….………..………………..</w:t>
      </w:r>
    </w:p>
    <w:p w14:paraId="3738F41D" w14:textId="77777777" w:rsidR="009955E3" w:rsidRDefault="001E16C2">
      <w:pPr>
        <w:pStyle w:val="ECErponse"/>
      </w:pPr>
      <w:r>
        <w:t>…………………………………………………………………………………………………..……….………..………………..</w:t>
      </w:r>
    </w:p>
    <w:p w14:paraId="1EF9C298" w14:textId="77777777" w:rsidR="009955E3" w:rsidRDefault="001E16C2">
      <w:pPr>
        <w:pStyle w:val="ECErponse"/>
      </w:pPr>
      <w:r>
        <w:t>…………………………………………………………………………………………………..……….………..………………..</w:t>
      </w:r>
    </w:p>
    <w:p w14:paraId="6EAB14B0" w14:textId="77777777" w:rsidR="009955E3" w:rsidRDefault="001E16C2">
      <w:pPr>
        <w:pStyle w:val="ECErponse"/>
      </w:pPr>
      <w:r>
        <w:t>…………………………………………………………………………………………………..……….………..………………..</w:t>
      </w:r>
    </w:p>
    <w:p w14:paraId="34458B1D" w14:textId="77777777" w:rsidR="009955E3" w:rsidRDefault="001E16C2">
      <w:pPr>
        <w:pStyle w:val="ECErponse"/>
      </w:pPr>
      <w:r>
        <w:t>…………………………………………………………………………………………………..……….………..………………..</w:t>
      </w:r>
    </w:p>
    <w:p w14:paraId="6AF6B604" w14:textId="77777777" w:rsidR="009955E3" w:rsidRDefault="001E16C2">
      <w:pPr>
        <w:pStyle w:val="ECErponse"/>
      </w:pPr>
      <w:r>
        <w:t>…………………………………………………………………………………………………..……….………..………………..</w:t>
      </w:r>
    </w:p>
    <w:p w14:paraId="15B1B988" w14:textId="77777777" w:rsidR="009955E3" w:rsidRDefault="001E16C2">
      <w:pPr>
        <w:pStyle w:val="ECErponse"/>
      </w:pPr>
      <w:r>
        <w:t>…………………………………………………………………………………………………..……….………..………………..</w:t>
      </w:r>
    </w:p>
    <w:p w14:paraId="5E275678" w14:textId="77777777" w:rsidR="009955E3" w:rsidRDefault="001E16C2">
      <w:pPr>
        <w:pStyle w:val="ECErponse"/>
      </w:pPr>
      <w:r>
        <w:t>…………………………………………………………………………………………………..……….………..………………..</w:t>
      </w:r>
    </w:p>
    <w:p w14:paraId="262D1F0C" w14:textId="77777777" w:rsidR="009955E3" w:rsidRDefault="009955E3">
      <w:pPr>
        <w:pStyle w:val="ECErponse"/>
      </w:pPr>
    </w:p>
    <w:tbl>
      <w:tblPr>
        <w:tblStyle w:val="Grilledutableau"/>
        <w:tblW w:w="9640" w:type="dxa"/>
        <w:jc w:val="center"/>
        <w:tblLayout w:type="fixed"/>
        <w:tblCellMar>
          <w:top w:w="57" w:type="dxa"/>
          <w:left w:w="57" w:type="dxa"/>
          <w:bottom w:w="57" w:type="dxa"/>
          <w:right w:w="57" w:type="dxa"/>
        </w:tblCellMar>
        <w:tblLook w:val="04A0" w:firstRow="1" w:lastRow="0" w:firstColumn="1" w:lastColumn="0" w:noHBand="0" w:noVBand="1"/>
      </w:tblPr>
      <w:tblGrid>
        <w:gridCol w:w="1418"/>
        <w:gridCol w:w="6803"/>
        <w:gridCol w:w="1419"/>
      </w:tblGrid>
      <w:tr w:rsidR="009955E3" w14:paraId="7EB53B82" w14:textId="77777777">
        <w:trPr>
          <w:jc w:val="center"/>
        </w:trPr>
        <w:tc>
          <w:tcPr>
            <w:tcW w:w="1418" w:type="dxa"/>
            <w:tcBorders>
              <w:top w:val="single" w:sz="18" w:space="0" w:color="000000"/>
              <w:left w:val="single" w:sz="18" w:space="0" w:color="000000"/>
              <w:bottom w:val="single" w:sz="6" w:space="0" w:color="000000"/>
              <w:right w:val="nil"/>
            </w:tcBorders>
            <w:shd w:val="clear" w:color="auto" w:fill="D9D9D9"/>
            <w:vAlign w:val="center"/>
          </w:tcPr>
          <w:p w14:paraId="2C0CE6F4" w14:textId="77777777" w:rsidR="009955E3" w:rsidRDefault="009955E3">
            <w:pPr>
              <w:jc w:val="center"/>
              <w:rPr>
                <w:bCs/>
                <w:color w:val="auto"/>
                <w:szCs w:val="22"/>
              </w:rPr>
            </w:pPr>
          </w:p>
        </w:tc>
        <w:tc>
          <w:tcPr>
            <w:tcW w:w="6803" w:type="dxa"/>
            <w:tcBorders>
              <w:top w:val="single" w:sz="18" w:space="0" w:color="000000"/>
              <w:left w:val="nil"/>
              <w:bottom w:val="single" w:sz="6" w:space="0" w:color="000000"/>
              <w:right w:val="nil"/>
            </w:tcBorders>
            <w:shd w:val="clear" w:color="auto" w:fill="D9D9D9"/>
            <w:vAlign w:val="center"/>
          </w:tcPr>
          <w:p w14:paraId="0604DF15" w14:textId="77777777" w:rsidR="009955E3" w:rsidRDefault="001E16C2">
            <w:pPr>
              <w:pStyle w:val="ECEappel"/>
            </w:pPr>
            <w:r>
              <w:t>APPEL n°2</w:t>
            </w:r>
          </w:p>
        </w:tc>
        <w:tc>
          <w:tcPr>
            <w:tcW w:w="1419" w:type="dxa"/>
            <w:tcBorders>
              <w:top w:val="single" w:sz="18" w:space="0" w:color="000000"/>
              <w:left w:val="nil"/>
              <w:bottom w:val="single" w:sz="6" w:space="0" w:color="000000"/>
              <w:right w:val="single" w:sz="18" w:space="0" w:color="000000"/>
            </w:tcBorders>
            <w:shd w:val="clear" w:color="auto" w:fill="D9D9D9"/>
            <w:vAlign w:val="center"/>
          </w:tcPr>
          <w:p w14:paraId="03EEE433" w14:textId="77777777" w:rsidR="009955E3" w:rsidRDefault="009955E3">
            <w:pPr>
              <w:jc w:val="center"/>
              <w:rPr>
                <w:bCs/>
                <w:color w:val="auto"/>
                <w:szCs w:val="22"/>
              </w:rPr>
            </w:pPr>
          </w:p>
        </w:tc>
      </w:tr>
      <w:tr w:rsidR="009955E3" w14:paraId="6F10D7C4" w14:textId="77777777">
        <w:trPr>
          <w:jc w:val="center"/>
        </w:trPr>
        <w:tc>
          <w:tcPr>
            <w:tcW w:w="1418" w:type="dxa"/>
            <w:tcBorders>
              <w:top w:val="single" w:sz="6" w:space="0" w:color="000000"/>
              <w:left w:val="single" w:sz="18" w:space="0" w:color="000000"/>
              <w:bottom w:val="single" w:sz="18" w:space="0" w:color="000000"/>
              <w:right w:val="single" w:sz="6" w:space="0" w:color="000000"/>
            </w:tcBorders>
            <w:vAlign w:val="center"/>
          </w:tcPr>
          <w:p w14:paraId="09B8F945" w14:textId="77777777" w:rsidR="009955E3" w:rsidRDefault="001E16C2">
            <w:pPr>
              <w:jc w:val="center"/>
              <w:rPr>
                <w:bCs/>
                <w:color w:val="auto"/>
                <w:sz w:val="96"/>
                <w:szCs w:val="96"/>
              </w:rPr>
            </w:pPr>
            <w:r>
              <w:rPr>
                <w:rFonts w:ascii="Wingdings" w:eastAsia="Wingdings" w:hAnsi="Wingdings" w:cs="Wingdings"/>
                <w:bCs/>
                <w:color w:val="auto"/>
                <w:sz w:val="96"/>
                <w:szCs w:val="96"/>
              </w:rPr>
              <w:t></w:t>
            </w:r>
          </w:p>
        </w:tc>
        <w:tc>
          <w:tcPr>
            <w:tcW w:w="6803" w:type="dxa"/>
            <w:tcBorders>
              <w:top w:val="single" w:sz="6" w:space="0" w:color="000000"/>
              <w:left w:val="single" w:sz="6" w:space="0" w:color="000000"/>
              <w:bottom w:val="single" w:sz="18" w:space="0" w:color="000000"/>
              <w:right w:val="single" w:sz="6" w:space="0" w:color="000000"/>
            </w:tcBorders>
            <w:vAlign w:val="center"/>
          </w:tcPr>
          <w:p w14:paraId="183F761B" w14:textId="77777777" w:rsidR="009955E3" w:rsidRDefault="001E16C2">
            <w:pPr>
              <w:pStyle w:val="ECEappel"/>
            </w:pPr>
            <w:r>
              <w:t>Appeler le professeur pour lui présenter le protocole expérimental</w:t>
            </w:r>
          </w:p>
          <w:p w14:paraId="55A29976" w14:textId="77777777" w:rsidR="009955E3" w:rsidRDefault="001E16C2">
            <w:pPr>
              <w:pStyle w:val="ECEappel"/>
              <w:rPr>
                <w:bCs/>
                <w:szCs w:val="22"/>
              </w:rPr>
            </w:pPr>
            <w:r>
              <w:t>ou en cas de difficulté</w:t>
            </w:r>
          </w:p>
        </w:tc>
        <w:tc>
          <w:tcPr>
            <w:tcW w:w="1419" w:type="dxa"/>
            <w:tcBorders>
              <w:top w:val="single" w:sz="6" w:space="0" w:color="000000"/>
              <w:left w:val="single" w:sz="6" w:space="0" w:color="000000"/>
              <w:bottom w:val="single" w:sz="18" w:space="0" w:color="000000"/>
              <w:right w:val="single" w:sz="18" w:space="0" w:color="000000"/>
            </w:tcBorders>
            <w:vAlign w:val="center"/>
          </w:tcPr>
          <w:p w14:paraId="59E631C9" w14:textId="77777777" w:rsidR="009955E3" w:rsidRDefault="001E16C2">
            <w:pPr>
              <w:jc w:val="center"/>
              <w:rPr>
                <w:bCs/>
                <w:color w:val="auto"/>
                <w:szCs w:val="22"/>
              </w:rPr>
            </w:pPr>
            <w:r>
              <w:rPr>
                <w:rFonts w:ascii="Wingdings" w:eastAsia="Wingdings" w:hAnsi="Wingdings" w:cs="Wingdings"/>
                <w:bCs/>
                <w:color w:val="auto"/>
                <w:sz w:val="96"/>
                <w:szCs w:val="96"/>
              </w:rPr>
              <w:t></w:t>
            </w:r>
          </w:p>
        </w:tc>
      </w:tr>
    </w:tbl>
    <w:p w14:paraId="74325BAF" w14:textId="77777777" w:rsidR="009955E3" w:rsidRDefault="009955E3">
      <w:pPr>
        <w:pStyle w:val="ECEcorps"/>
      </w:pPr>
    </w:p>
    <w:p w14:paraId="4AF42E8D" w14:textId="77777777" w:rsidR="009955E3" w:rsidRDefault="009955E3">
      <w:pPr>
        <w:pStyle w:val="ECEcorps"/>
      </w:pPr>
    </w:p>
    <w:p w14:paraId="14AAB94F" w14:textId="77777777" w:rsidR="009955E3" w:rsidRDefault="001E16C2">
      <w:pPr>
        <w:pStyle w:val="ECEpartie"/>
        <w:numPr>
          <w:ilvl w:val="0"/>
          <w:numId w:val="6"/>
        </w:numPr>
      </w:pPr>
      <w:bookmarkStart w:id="6" w:name="_Toc500182692"/>
      <w:bookmarkStart w:id="7" w:name="_Toc482638815"/>
      <w:r>
        <w:t xml:space="preserve">Dosage des ions ammonium dans la solution d’engrais </w:t>
      </w:r>
      <w:r>
        <w:rPr>
          <w:b w:val="0"/>
        </w:rPr>
        <w:t>(20 minutes conseillées)</w:t>
      </w:r>
      <w:bookmarkEnd w:id="6"/>
      <w:bookmarkEnd w:id="7"/>
    </w:p>
    <w:p w14:paraId="7493B641" w14:textId="77777777" w:rsidR="009955E3" w:rsidRDefault="009955E3">
      <w:pPr>
        <w:pStyle w:val="ECEcorps"/>
        <w:rPr>
          <w:rFonts w:eastAsia="Arial Unicode MS"/>
        </w:rPr>
      </w:pPr>
    </w:p>
    <w:p w14:paraId="61C3E268" w14:textId="77777777" w:rsidR="009955E3" w:rsidRDefault="001E16C2">
      <w:pPr>
        <w:pStyle w:val="ECEcorps"/>
      </w:pPr>
      <w:r>
        <w:t>Mettre en œuvre le protocole proposé à la question précédente et noter le volume à l’équivalence.</w:t>
      </w:r>
    </w:p>
    <w:p w14:paraId="32D1A74B" w14:textId="77777777" w:rsidR="009955E3" w:rsidRDefault="001E16C2">
      <w:pPr>
        <w:pStyle w:val="ECErponse"/>
      </w:pPr>
      <w:r>
        <w:t>…………………………………………………………………………………………………..……….………..………………..</w:t>
      </w:r>
    </w:p>
    <w:p w14:paraId="300BB739" w14:textId="77777777" w:rsidR="009955E3" w:rsidRDefault="009955E3">
      <w:pPr>
        <w:pStyle w:val="ECEcorps"/>
      </w:pPr>
    </w:p>
    <w:p w14:paraId="4C80CA6A" w14:textId="77777777" w:rsidR="009955E3" w:rsidRDefault="009955E3">
      <w:pPr>
        <w:pStyle w:val="ECEcorps"/>
      </w:pPr>
    </w:p>
    <w:tbl>
      <w:tblPr>
        <w:tblStyle w:val="Grilledutableau"/>
        <w:tblW w:w="9640" w:type="dxa"/>
        <w:jc w:val="center"/>
        <w:tblLayout w:type="fixed"/>
        <w:tblCellMar>
          <w:top w:w="57" w:type="dxa"/>
          <w:left w:w="57" w:type="dxa"/>
          <w:bottom w:w="57" w:type="dxa"/>
          <w:right w:w="57" w:type="dxa"/>
        </w:tblCellMar>
        <w:tblLook w:val="04A0" w:firstRow="1" w:lastRow="0" w:firstColumn="1" w:lastColumn="0" w:noHBand="0" w:noVBand="1"/>
      </w:tblPr>
      <w:tblGrid>
        <w:gridCol w:w="1418"/>
        <w:gridCol w:w="6803"/>
        <w:gridCol w:w="1419"/>
      </w:tblGrid>
      <w:tr w:rsidR="009955E3" w14:paraId="79CEE5EF" w14:textId="77777777">
        <w:trPr>
          <w:jc w:val="center"/>
        </w:trPr>
        <w:tc>
          <w:tcPr>
            <w:tcW w:w="1418" w:type="dxa"/>
            <w:tcBorders>
              <w:top w:val="single" w:sz="18" w:space="0" w:color="000000"/>
              <w:left w:val="single" w:sz="18" w:space="0" w:color="000000"/>
              <w:bottom w:val="single" w:sz="6" w:space="0" w:color="000000"/>
              <w:right w:val="nil"/>
            </w:tcBorders>
            <w:shd w:val="clear" w:color="auto" w:fill="D9D9D9"/>
            <w:vAlign w:val="center"/>
          </w:tcPr>
          <w:p w14:paraId="03E23401" w14:textId="77777777" w:rsidR="009955E3" w:rsidRDefault="009955E3">
            <w:pPr>
              <w:jc w:val="center"/>
              <w:rPr>
                <w:bCs/>
                <w:color w:val="auto"/>
                <w:szCs w:val="22"/>
              </w:rPr>
            </w:pPr>
          </w:p>
        </w:tc>
        <w:tc>
          <w:tcPr>
            <w:tcW w:w="6803" w:type="dxa"/>
            <w:tcBorders>
              <w:top w:val="single" w:sz="18" w:space="0" w:color="000000"/>
              <w:left w:val="nil"/>
              <w:bottom w:val="single" w:sz="6" w:space="0" w:color="000000"/>
              <w:right w:val="nil"/>
            </w:tcBorders>
            <w:shd w:val="clear" w:color="auto" w:fill="D9D9D9"/>
            <w:vAlign w:val="center"/>
          </w:tcPr>
          <w:p w14:paraId="17F1C8A2" w14:textId="77777777" w:rsidR="009955E3" w:rsidRDefault="001E16C2">
            <w:pPr>
              <w:pStyle w:val="ECEappel"/>
            </w:pPr>
            <w:r>
              <w:t>APPEL n°3</w:t>
            </w:r>
          </w:p>
        </w:tc>
        <w:tc>
          <w:tcPr>
            <w:tcW w:w="1419" w:type="dxa"/>
            <w:tcBorders>
              <w:top w:val="single" w:sz="18" w:space="0" w:color="000000"/>
              <w:left w:val="nil"/>
              <w:bottom w:val="single" w:sz="6" w:space="0" w:color="000000"/>
              <w:right w:val="single" w:sz="18" w:space="0" w:color="000000"/>
            </w:tcBorders>
            <w:shd w:val="clear" w:color="auto" w:fill="D9D9D9"/>
            <w:vAlign w:val="center"/>
          </w:tcPr>
          <w:p w14:paraId="31AAA028" w14:textId="77777777" w:rsidR="009955E3" w:rsidRDefault="009955E3">
            <w:pPr>
              <w:jc w:val="center"/>
              <w:rPr>
                <w:bCs/>
                <w:color w:val="auto"/>
                <w:szCs w:val="22"/>
              </w:rPr>
            </w:pPr>
          </w:p>
        </w:tc>
      </w:tr>
      <w:tr w:rsidR="009955E3" w14:paraId="7DB11DB5" w14:textId="77777777">
        <w:trPr>
          <w:jc w:val="center"/>
        </w:trPr>
        <w:tc>
          <w:tcPr>
            <w:tcW w:w="1418" w:type="dxa"/>
            <w:tcBorders>
              <w:top w:val="single" w:sz="6" w:space="0" w:color="000000"/>
              <w:left w:val="single" w:sz="18" w:space="0" w:color="000000"/>
              <w:bottom w:val="single" w:sz="18" w:space="0" w:color="000000"/>
              <w:right w:val="single" w:sz="6" w:space="0" w:color="000000"/>
            </w:tcBorders>
            <w:vAlign w:val="center"/>
          </w:tcPr>
          <w:p w14:paraId="11580600" w14:textId="77777777" w:rsidR="009955E3" w:rsidRDefault="001E16C2">
            <w:pPr>
              <w:jc w:val="center"/>
              <w:rPr>
                <w:bCs/>
                <w:color w:val="auto"/>
                <w:sz w:val="96"/>
                <w:szCs w:val="96"/>
              </w:rPr>
            </w:pPr>
            <w:r>
              <w:rPr>
                <w:rFonts w:ascii="Wingdings" w:eastAsia="Wingdings" w:hAnsi="Wingdings" w:cs="Wingdings"/>
                <w:bCs/>
                <w:color w:val="auto"/>
                <w:sz w:val="96"/>
                <w:szCs w:val="96"/>
              </w:rPr>
              <w:t></w:t>
            </w:r>
          </w:p>
        </w:tc>
        <w:tc>
          <w:tcPr>
            <w:tcW w:w="6803" w:type="dxa"/>
            <w:tcBorders>
              <w:top w:val="single" w:sz="6" w:space="0" w:color="000000"/>
              <w:left w:val="single" w:sz="6" w:space="0" w:color="000000"/>
              <w:bottom w:val="single" w:sz="18" w:space="0" w:color="000000"/>
              <w:right w:val="single" w:sz="6" w:space="0" w:color="000000"/>
            </w:tcBorders>
            <w:vAlign w:val="center"/>
          </w:tcPr>
          <w:p w14:paraId="78EAF15B" w14:textId="77777777" w:rsidR="009955E3" w:rsidRDefault="001E16C2">
            <w:pPr>
              <w:pStyle w:val="ECEappel"/>
            </w:pPr>
            <w:r>
              <w:t>Appeler le professeur pour lui présenter les résultats expérimentaux</w:t>
            </w:r>
          </w:p>
          <w:p w14:paraId="683A3B93" w14:textId="77777777" w:rsidR="009955E3" w:rsidRDefault="001E16C2">
            <w:pPr>
              <w:pStyle w:val="ECEappel"/>
              <w:rPr>
                <w:bCs/>
                <w:szCs w:val="22"/>
              </w:rPr>
            </w:pPr>
            <w:r>
              <w:t>ou en cas de difficulté</w:t>
            </w:r>
          </w:p>
        </w:tc>
        <w:tc>
          <w:tcPr>
            <w:tcW w:w="1419" w:type="dxa"/>
            <w:tcBorders>
              <w:top w:val="single" w:sz="6" w:space="0" w:color="000000"/>
              <w:left w:val="single" w:sz="6" w:space="0" w:color="000000"/>
              <w:bottom w:val="single" w:sz="18" w:space="0" w:color="000000"/>
              <w:right w:val="single" w:sz="18" w:space="0" w:color="000000"/>
            </w:tcBorders>
            <w:vAlign w:val="center"/>
          </w:tcPr>
          <w:p w14:paraId="1D0C58A3" w14:textId="77777777" w:rsidR="009955E3" w:rsidRDefault="001E16C2">
            <w:pPr>
              <w:jc w:val="center"/>
              <w:rPr>
                <w:bCs/>
                <w:color w:val="auto"/>
                <w:szCs w:val="22"/>
              </w:rPr>
            </w:pPr>
            <w:r>
              <w:rPr>
                <w:rFonts w:ascii="Wingdings" w:eastAsia="Wingdings" w:hAnsi="Wingdings" w:cs="Wingdings"/>
                <w:bCs/>
                <w:color w:val="auto"/>
                <w:sz w:val="96"/>
                <w:szCs w:val="96"/>
              </w:rPr>
              <w:t></w:t>
            </w:r>
          </w:p>
        </w:tc>
      </w:tr>
    </w:tbl>
    <w:p w14:paraId="0ECDA750" w14:textId="77777777" w:rsidR="009955E3" w:rsidRDefault="009955E3">
      <w:pPr>
        <w:pStyle w:val="ECEcorps"/>
      </w:pPr>
    </w:p>
    <w:p w14:paraId="0298539A" w14:textId="77777777" w:rsidR="009955E3" w:rsidRDefault="009955E3">
      <w:pPr>
        <w:pStyle w:val="ECEcorps"/>
        <w:rPr>
          <w:rFonts w:eastAsia="Arial Unicode MS"/>
        </w:rPr>
      </w:pPr>
    </w:p>
    <w:p w14:paraId="28CBDC84" w14:textId="77777777" w:rsidR="009955E3" w:rsidRDefault="001E16C2">
      <w:pPr>
        <w:pStyle w:val="ECEpartie"/>
        <w:numPr>
          <w:ilvl w:val="0"/>
          <w:numId w:val="6"/>
        </w:numPr>
        <w:spacing w:after="240"/>
      </w:pPr>
      <w:bookmarkStart w:id="8" w:name="_Toc500182693"/>
      <w:bookmarkStart w:id="9" w:name="_Toc482638816"/>
      <w:r>
        <w:t xml:space="preserve">Exploitation des résultats </w:t>
      </w:r>
      <w:r>
        <w:rPr>
          <w:b w:val="0"/>
        </w:rPr>
        <w:t>(20 minutes conseillées)</w:t>
      </w:r>
      <w:bookmarkEnd w:id="8"/>
      <w:bookmarkEnd w:id="9"/>
    </w:p>
    <w:p w14:paraId="2FD775D2" w14:textId="77777777" w:rsidR="009955E3" w:rsidRDefault="001E16C2">
      <w:pPr>
        <w:pStyle w:val="ECEcorps"/>
      </w:pPr>
      <w:r>
        <w:t>La solution d’engrais dosée a été fabriquée en dissolvant 1,5 g d’engrais pour obtenir 1,00 L de solution.</w:t>
      </w:r>
    </w:p>
    <w:p w14:paraId="77CFB6CD" w14:textId="77777777" w:rsidR="009955E3" w:rsidRDefault="009955E3">
      <w:pPr>
        <w:pStyle w:val="ECEcorps"/>
      </w:pPr>
    </w:p>
    <w:p w14:paraId="76A4DB8B" w14:textId="77777777" w:rsidR="009955E3" w:rsidRDefault="00DF6AB7">
      <w:pPr>
        <w:pStyle w:val="ECEcorps"/>
      </w:pPr>
      <w:r>
        <w:t xml:space="preserve">Les résultats du dosage sont-ils compatibles avec les indications du fabricant ? </w:t>
      </w:r>
      <w:r w:rsidR="001E16C2">
        <w:t>Commenter.</w:t>
      </w:r>
    </w:p>
    <w:p w14:paraId="2D87541D" w14:textId="77777777" w:rsidR="009955E3" w:rsidRDefault="001E16C2">
      <w:pPr>
        <w:pStyle w:val="ECErponse"/>
        <w:spacing w:after="240"/>
      </w:pPr>
      <w:r>
        <w:t>…………………………………………………………………………………………………..……….………..………………..</w:t>
      </w:r>
    </w:p>
    <w:p w14:paraId="3BB2B6AD" w14:textId="77777777" w:rsidR="009955E3" w:rsidRDefault="001E16C2">
      <w:pPr>
        <w:pStyle w:val="ECErponse"/>
        <w:spacing w:after="240"/>
      </w:pPr>
      <w:r>
        <w:t>…………………………………………………………………………………………………..……….………..………………..</w:t>
      </w:r>
    </w:p>
    <w:p w14:paraId="5216D207" w14:textId="77777777" w:rsidR="009955E3" w:rsidRDefault="001E16C2">
      <w:pPr>
        <w:pStyle w:val="ECErponse"/>
        <w:spacing w:after="240"/>
      </w:pPr>
      <w:r>
        <w:t>…………………………………………………………………………………………………..……….………..………………..</w:t>
      </w:r>
    </w:p>
    <w:p w14:paraId="508445D0" w14:textId="77777777" w:rsidR="009955E3" w:rsidRDefault="001E16C2">
      <w:pPr>
        <w:pStyle w:val="ECErponse"/>
      </w:pPr>
      <w:r>
        <w:t>…………………………………………………………………………………………………..……….………..………………..</w:t>
      </w:r>
    </w:p>
    <w:p w14:paraId="7D770C48" w14:textId="77777777" w:rsidR="009955E3" w:rsidRDefault="001E16C2">
      <w:pPr>
        <w:pStyle w:val="ECErponse"/>
        <w:spacing w:after="240"/>
      </w:pPr>
      <w:r>
        <w:t>…………………………………………………………………………………………………..……….………..………………..</w:t>
      </w:r>
    </w:p>
    <w:p w14:paraId="5B1F308C" w14:textId="77777777" w:rsidR="009955E3" w:rsidRDefault="001E16C2">
      <w:pPr>
        <w:pStyle w:val="ECErponse"/>
        <w:spacing w:after="240"/>
      </w:pPr>
      <w:r>
        <w:t>…………………………………………………………………………………………………..……….………..………………..</w:t>
      </w:r>
    </w:p>
    <w:p w14:paraId="56965794" w14:textId="77777777" w:rsidR="00DF6AB7" w:rsidRDefault="00DF6AB7" w:rsidP="00DF6AB7">
      <w:pPr>
        <w:pStyle w:val="ECErponse"/>
        <w:spacing w:after="240"/>
      </w:pPr>
      <w:r>
        <w:t>…………………………………………………………………………………………………..……….………..………………..</w:t>
      </w:r>
    </w:p>
    <w:p w14:paraId="60AAB81B" w14:textId="77777777" w:rsidR="009955E3" w:rsidRDefault="001E16C2">
      <w:pPr>
        <w:pStyle w:val="ECErponse"/>
        <w:spacing w:after="240"/>
      </w:pPr>
      <w:r>
        <w:t>…………………………………………………………………………………………………..……….………..………………..</w:t>
      </w:r>
    </w:p>
    <w:tbl>
      <w:tblPr>
        <w:tblStyle w:val="Grilledutableau"/>
        <w:tblW w:w="9640" w:type="dxa"/>
        <w:jc w:val="center"/>
        <w:tblLayout w:type="fixed"/>
        <w:tblCellMar>
          <w:top w:w="57" w:type="dxa"/>
          <w:left w:w="57" w:type="dxa"/>
          <w:bottom w:w="57" w:type="dxa"/>
          <w:right w:w="57" w:type="dxa"/>
        </w:tblCellMar>
        <w:tblLook w:val="04A0" w:firstRow="1" w:lastRow="0" w:firstColumn="1" w:lastColumn="0" w:noHBand="0" w:noVBand="1"/>
      </w:tblPr>
      <w:tblGrid>
        <w:gridCol w:w="1418"/>
        <w:gridCol w:w="6803"/>
        <w:gridCol w:w="1419"/>
      </w:tblGrid>
      <w:tr w:rsidR="009955E3" w14:paraId="4A40DF24" w14:textId="77777777">
        <w:trPr>
          <w:jc w:val="center"/>
        </w:trPr>
        <w:tc>
          <w:tcPr>
            <w:tcW w:w="1418" w:type="dxa"/>
            <w:tcBorders>
              <w:top w:val="single" w:sz="18" w:space="0" w:color="000000"/>
              <w:left w:val="single" w:sz="18" w:space="0" w:color="000000"/>
              <w:bottom w:val="single" w:sz="6" w:space="0" w:color="000000"/>
              <w:right w:val="nil"/>
            </w:tcBorders>
            <w:shd w:val="clear" w:color="auto" w:fill="D9D9D9"/>
            <w:vAlign w:val="center"/>
          </w:tcPr>
          <w:p w14:paraId="1065E0DE" w14:textId="77777777" w:rsidR="009955E3" w:rsidRDefault="00DF6AB7">
            <w:pPr>
              <w:jc w:val="center"/>
              <w:rPr>
                <w:bCs/>
                <w:color w:val="auto"/>
                <w:szCs w:val="22"/>
              </w:rPr>
            </w:pPr>
            <w:r>
              <w:tab/>
            </w:r>
          </w:p>
        </w:tc>
        <w:tc>
          <w:tcPr>
            <w:tcW w:w="6803" w:type="dxa"/>
            <w:tcBorders>
              <w:top w:val="single" w:sz="18" w:space="0" w:color="000000"/>
              <w:left w:val="nil"/>
              <w:bottom w:val="single" w:sz="6" w:space="0" w:color="000000"/>
              <w:right w:val="nil"/>
            </w:tcBorders>
            <w:shd w:val="clear" w:color="auto" w:fill="D9D9D9"/>
            <w:vAlign w:val="center"/>
          </w:tcPr>
          <w:p w14:paraId="2F705E32" w14:textId="77777777" w:rsidR="009955E3" w:rsidRDefault="001E16C2">
            <w:pPr>
              <w:pStyle w:val="ECEappel"/>
            </w:pPr>
            <w:r>
              <w:t>APPEL FACULTATIF</w:t>
            </w:r>
          </w:p>
        </w:tc>
        <w:tc>
          <w:tcPr>
            <w:tcW w:w="1419" w:type="dxa"/>
            <w:tcBorders>
              <w:top w:val="single" w:sz="18" w:space="0" w:color="000000"/>
              <w:left w:val="nil"/>
              <w:bottom w:val="single" w:sz="6" w:space="0" w:color="000000"/>
              <w:right w:val="single" w:sz="18" w:space="0" w:color="000000"/>
            </w:tcBorders>
            <w:shd w:val="clear" w:color="auto" w:fill="D9D9D9"/>
            <w:vAlign w:val="center"/>
          </w:tcPr>
          <w:p w14:paraId="04DA6AD3" w14:textId="77777777" w:rsidR="009955E3" w:rsidRDefault="009955E3">
            <w:pPr>
              <w:jc w:val="center"/>
              <w:rPr>
                <w:bCs/>
                <w:color w:val="auto"/>
                <w:szCs w:val="22"/>
              </w:rPr>
            </w:pPr>
          </w:p>
        </w:tc>
      </w:tr>
      <w:tr w:rsidR="009955E3" w14:paraId="4F966FE2" w14:textId="77777777">
        <w:trPr>
          <w:jc w:val="center"/>
        </w:trPr>
        <w:tc>
          <w:tcPr>
            <w:tcW w:w="1418" w:type="dxa"/>
            <w:tcBorders>
              <w:top w:val="single" w:sz="6" w:space="0" w:color="000000"/>
              <w:left w:val="single" w:sz="18" w:space="0" w:color="000000"/>
              <w:bottom w:val="single" w:sz="18" w:space="0" w:color="000000"/>
              <w:right w:val="single" w:sz="6" w:space="0" w:color="000000"/>
            </w:tcBorders>
            <w:vAlign w:val="center"/>
          </w:tcPr>
          <w:p w14:paraId="35BD54A6" w14:textId="77777777" w:rsidR="009955E3" w:rsidRDefault="001E16C2">
            <w:pPr>
              <w:jc w:val="center"/>
              <w:rPr>
                <w:bCs/>
                <w:color w:val="auto"/>
                <w:sz w:val="96"/>
                <w:szCs w:val="96"/>
              </w:rPr>
            </w:pPr>
            <w:r>
              <w:rPr>
                <w:rFonts w:ascii="Wingdings" w:eastAsia="Wingdings" w:hAnsi="Wingdings" w:cs="Wingdings"/>
                <w:bCs/>
                <w:color w:val="auto"/>
                <w:sz w:val="96"/>
                <w:szCs w:val="96"/>
              </w:rPr>
              <w:t></w:t>
            </w:r>
          </w:p>
        </w:tc>
        <w:tc>
          <w:tcPr>
            <w:tcW w:w="6803" w:type="dxa"/>
            <w:tcBorders>
              <w:top w:val="single" w:sz="6" w:space="0" w:color="000000"/>
              <w:left w:val="single" w:sz="6" w:space="0" w:color="000000"/>
              <w:bottom w:val="single" w:sz="18" w:space="0" w:color="000000"/>
              <w:right w:val="single" w:sz="6" w:space="0" w:color="000000"/>
            </w:tcBorders>
            <w:vAlign w:val="center"/>
          </w:tcPr>
          <w:p w14:paraId="3B6545B6" w14:textId="77777777" w:rsidR="009955E3" w:rsidRDefault="001E16C2">
            <w:pPr>
              <w:pStyle w:val="ECEappel"/>
            </w:pPr>
            <w:r>
              <w:t>Appeler le professeur en cas de difficulté</w:t>
            </w:r>
          </w:p>
        </w:tc>
        <w:tc>
          <w:tcPr>
            <w:tcW w:w="1419" w:type="dxa"/>
            <w:tcBorders>
              <w:top w:val="single" w:sz="6" w:space="0" w:color="000000"/>
              <w:left w:val="single" w:sz="6" w:space="0" w:color="000000"/>
              <w:bottom w:val="single" w:sz="18" w:space="0" w:color="000000"/>
              <w:right w:val="single" w:sz="18" w:space="0" w:color="000000"/>
            </w:tcBorders>
            <w:vAlign w:val="center"/>
          </w:tcPr>
          <w:p w14:paraId="3730360D" w14:textId="77777777" w:rsidR="009955E3" w:rsidRDefault="001E16C2">
            <w:pPr>
              <w:jc w:val="center"/>
              <w:rPr>
                <w:bCs/>
                <w:color w:val="auto"/>
                <w:szCs w:val="22"/>
              </w:rPr>
            </w:pPr>
            <w:r>
              <w:rPr>
                <w:rFonts w:ascii="Wingdings" w:eastAsia="Wingdings" w:hAnsi="Wingdings" w:cs="Wingdings"/>
                <w:bCs/>
                <w:color w:val="auto"/>
                <w:sz w:val="96"/>
                <w:szCs w:val="96"/>
              </w:rPr>
              <w:t></w:t>
            </w:r>
          </w:p>
        </w:tc>
      </w:tr>
    </w:tbl>
    <w:p w14:paraId="594EFECD" w14:textId="77777777" w:rsidR="00DF6AB7" w:rsidRDefault="00DF6AB7">
      <w:pPr>
        <w:pStyle w:val="ECEcorps"/>
        <w:rPr>
          <w:b/>
        </w:rPr>
      </w:pPr>
      <w:bookmarkStart w:id="10" w:name="_Toc469923078"/>
      <w:bookmarkStart w:id="11" w:name="_Toc266361605"/>
      <w:bookmarkStart w:id="12" w:name="_Toc379291742"/>
    </w:p>
    <w:p w14:paraId="4691E62C" w14:textId="77777777" w:rsidR="009955E3" w:rsidRDefault="001E16C2">
      <w:pPr>
        <w:pStyle w:val="ECEcorps"/>
        <w:rPr>
          <w:b/>
        </w:rPr>
      </w:pPr>
      <w:r>
        <w:rPr>
          <w:b/>
        </w:rPr>
        <w:t>Défaire le montage et ranger la paillasse avant de quitter la salle.</w:t>
      </w:r>
      <w:bookmarkEnd w:id="10"/>
      <w:bookmarkEnd w:id="11"/>
      <w:bookmarkEnd w:id="12"/>
    </w:p>
    <w:sectPr w:rsidR="009955E3">
      <w:headerReference w:type="default" r:id="rId11"/>
      <w:footerReference w:type="default" r:id="rId12"/>
      <w:pgSz w:w="11906" w:h="16838"/>
      <w:pgMar w:top="908" w:right="851" w:bottom="851" w:left="851" w:header="851" w:footer="56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27D66" w14:textId="77777777" w:rsidR="009D6598" w:rsidRDefault="009D6598">
      <w:pPr>
        <w:spacing w:line="240" w:lineRule="auto"/>
      </w:pPr>
      <w:r>
        <w:separator/>
      </w:r>
    </w:p>
  </w:endnote>
  <w:endnote w:type="continuationSeparator" w:id="0">
    <w:p w14:paraId="29E6002F" w14:textId="77777777" w:rsidR="009D6598" w:rsidRDefault="009D6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Mistral">
    <w:panose1 w:val="03090702030407020403"/>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427E" w14:textId="28091623" w:rsidR="009955E3" w:rsidRDefault="001E16C2">
    <w:pPr>
      <w:pStyle w:val="ECEcorps"/>
      <w:jc w:val="right"/>
    </w:pPr>
    <w:r>
      <w:t xml:space="preserve">Page </w:t>
    </w:r>
    <w:r>
      <w:fldChar w:fldCharType="begin"/>
    </w:r>
    <w:r>
      <w:instrText>PAGE</w:instrText>
    </w:r>
    <w:r>
      <w:fldChar w:fldCharType="separate"/>
    </w:r>
    <w:r w:rsidR="00173D03">
      <w:rPr>
        <w:noProof/>
      </w:rPr>
      <w:t>1</w:t>
    </w:r>
    <w:r>
      <w:fldChar w:fldCharType="end"/>
    </w:r>
    <w:r>
      <w:t xml:space="preserve"> sur </w:t>
    </w:r>
    <w:r>
      <w:fldChar w:fldCharType="begin"/>
    </w:r>
    <w:r>
      <w:instrText>NUMPAGES</w:instrText>
    </w:r>
    <w:r>
      <w:fldChar w:fldCharType="separate"/>
    </w:r>
    <w:r w:rsidR="00173D0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DBA9" w14:textId="77777777" w:rsidR="009D6598" w:rsidRDefault="009D6598">
      <w:pPr>
        <w:spacing w:line="240" w:lineRule="auto"/>
      </w:pPr>
      <w:r>
        <w:separator/>
      </w:r>
    </w:p>
  </w:footnote>
  <w:footnote w:type="continuationSeparator" w:id="0">
    <w:p w14:paraId="52730CED" w14:textId="77777777" w:rsidR="009D6598" w:rsidRDefault="009D65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59D3" w14:textId="77777777" w:rsidR="009955E3" w:rsidRDefault="001E16C2">
    <w:pPr>
      <w:pStyle w:val="ECEcorps"/>
      <w:tabs>
        <w:tab w:val="center" w:pos="851"/>
        <w:tab w:val="center" w:pos="5103"/>
        <w:tab w:val="center" w:pos="9498"/>
      </w:tabs>
    </w:pPr>
    <w:r>
      <w:tab/>
      <w:t> </w:t>
    </w:r>
    <w:r>
      <w:tab/>
    </w:r>
    <w:r>
      <w:rPr>
        <w:b/>
        <w:sz w:val="24"/>
        <w:szCs w:val="24"/>
      </w:rPr>
      <w:t>TERRAIN DE GOLF </w:t>
    </w:r>
    <w:r>
      <w:tab/>
      <w:t>Session</w:t>
    </w:r>
  </w:p>
  <w:p w14:paraId="307DC8D9" w14:textId="435ACE02" w:rsidR="009955E3" w:rsidRDefault="001E16C2">
    <w:pPr>
      <w:pStyle w:val="ECEcorps"/>
      <w:tabs>
        <w:tab w:val="center" w:pos="851"/>
        <w:tab w:val="center" w:pos="5103"/>
        <w:tab w:val="center" w:pos="9498"/>
      </w:tabs>
    </w:pPr>
    <w:r>
      <w:tab/>
    </w:r>
    <w:r>
      <w:tab/>
    </w:r>
    <w:r>
      <w:tab/>
      <w:t>202</w:t>
    </w:r>
    <w:r w:rsidR="002075B8">
      <w:t>3</w:t>
    </w:r>
  </w:p>
  <w:p w14:paraId="648EF476" w14:textId="77777777" w:rsidR="009955E3" w:rsidRDefault="009955E3">
    <w:pPr>
      <w:pStyle w:val="ECEcorps"/>
      <w:tabs>
        <w:tab w:val="center" w:pos="851"/>
        <w:tab w:val="center" w:pos="5103"/>
        <w:tab w:val="center"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16CD"/>
    <w:multiLevelType w:val="multilevel"/>
    <w:tmpl w:val="F8904670"/>
    <w:lvl w:ilvl="0">
      <w:start w:val="1"/>
      <w:numFmt w:val="decimal"/>
      <w:pStyle w:val="ECEpartie"/>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1947A8E"/>
    <w:multiLevelType w:val="multilevel"/>
    <w:tmpl w:val="C39E1C08"/>
    <w:lvl w:ilvl="0">
      <w:start w:val="1"/>
      <w:numFmt w:val="upperRoman"/>
      <w:pStyle w:val="Titre1"/>
      <w:suff w:val="space"/>
      <w:lvlText w:val="%1."/>
      <w:lvlJc w:val="center"/>
      <w:pPr>
        <w:tabs>
          <w:tab w:val="num" w:pos="0"/>
        </w:tabs>
        <w:ind w:left="0" w:firstLine="0"/>
      </w:pPr>
    </w:lvl>
    <w:lvl w:ilvl="1">
      <w:start w:val="1"/>
      <w:numFmt w:val="decimal"/>
      <w:pStyle w:val="Titre2"/>
      <w:suff w:val="space"/>
      <w:lvlText w:val="%2."/>
      <w:lvlJc w:val="left"/>
      <w:pPr>
        <w:tabs>
          <w:tab w:val="num" w:pos="0"/>
        </w:tabs>
        <w:ind w:left="567" w:hanging="567"/>
      </w:pPr>
    </w:lvl>
    <w:lvl w:ilvl="2">
      <w:start w:val="1"/>
      <w:numFmt w:val="decimal"/>
      <w:pStyle w:val="Titre3"/>
      <w:suff w:val="space"/>
      <w:lvlText w:val="%2.%3."/>
      <w:lvlJc w:val="left"/>
      <w:pPr>
        <w:tabs>
          <w:tab w:val="num" w:pos="0"/>
        </w:tabs>
        <w:ind w:left="1418" w:hanging="850"/>
      </w:pPr>
    </w:lvl>
    <w:lvl w:ilvl="3">
      <w:start w:val="1"/>
      <w:numFmt w:val="decimal"/>
      <w:pStyle w:val="Titre4"/>
      <w:suff w:val="space"/>
      <w:lvlText w:val="%2.%3.%4."/>
      <w:lvlJc w:val="left"/>
      <w:pPr>
        <w:tabs>
          <w:tab w:val="num" w:pos="0"/>
        </w:tabs>
        <w:ind w:left="2211" w:hanging="1131"/>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2E54FAA"/>
    <w:multiLevelType w:val="multilevel"/>
    <w:tmpl w:val="F7BA5FF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62D72E12"/>
    <w:multiLevelType w:val="multilevel"/>
    <w:tmpl w:val="49A6D70A"/>
    <w:lvl w:ilvl="0">
      <w:start w:val="1"/>
      <w:numFmt w:val="bullet"/>
      <w:pStyle w:val="ECEpuce1"/>
      <w:lvlText w:val=""/>
      <w:lvlJc w:val="left"/>
      <w:pPr>
        <w:tabs>
          <w:tab w:val="num" w:pos="0"/>
        </w:tabs>
        <w:ind w:left="1068" w:hanging="360"/>
      </w:pPr>
      <w:rPr>
        <w:rFonts w:ascii="Symbol" w:hAnsi="Symbol" w:cs="Symbol" w:hint="default"/>
      </w:rPr>
    </w:lvl>
    <w:lvl w:ilvl="1">
      <w:start w:val="1"/>
      <w:numFmt w:val="bullet"/>
      <w:lvlText w:val="o"/>
      <w:lvlJc w:val="left"/>
      <w:pPr>
        <w:tabs>
          <w:tab w:val="num" w:pos="1068"/>
        </w:tabs>
        <w:ind w:left="1068" w:hanging="360"/>
      </w:pPr>
      <w:rPr>
        <w:rFonts w:ascii="Courier New" w:hAnsi="Courier New" w:cs="Courier New" w:hint="default"/>
      </w:rPr>
    </w:lvl>
    <w:lvl w:ilvl="2">
      <w:start w:val="1"/>
      <w:numFmt w:val="bullet"/>
      <w:lvlText w:val="o"/>
      <w:lvlJc w:val="left"/>
      <w:pPr>
        <w:tabs>
          <w:tab w:val="num" w:pos="0"/>
        </w:tabs>
        <w:ind w:left="1788" w:hanging="360"/>
      </w:pPr>
      <w:rPr>
        <w:rFonts w:ascii="Courier New" w:hAnsi="Courier New" w:cs="Courier New"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o"/>
      <w:lvlJc w:val="left"/>
      <w:pPr>
        <w:tabs>
          <w:tab w:val="num" w:pos="3228"/>
        </w:tabs>
        <w:ind w:left="3228" w:hanging="360"/>
      </w:pPr>
      <w:rPr>
        <w:rFonts w:ascii="Courier New" w:hAnsi="Courier New" w:cs="Courier New" w:hint="default"/>
      </w:rPr>
    </w:lvl>
    <w:lvl w:ilvl="5">
      <w:start w:val="1"/>
      <w:numFmt w:val="bullet"/>
      <w:lvlText w:val=""/>
      <w:lvlJc w:val="left"/>
      <w:pPr>
        <w:tabs>
          <w:tab w:val="num" w:pos="3948"/>
        </w:tabs>
        <w:ind w:left="3948" w:hanging="360"/>
      </w:pPr>
      <w:rPr>
        <w:rFonts w:ascii="Wingdings" w:hAnsi="Wingdings" w:cs="Wingdings" w:hint="default"/>
      </w:rPr>
    </w:lvl>
    <w:lvl w:ilvl="6">
      <w:start w:val="1"/>
      <w:numFmt w:val="bullet"/>
      <w:lvlText w:val=""/>
      <w:lvlJc w:val="left"/>
      <w:pPr>
        <w:tabs>
          <w:tab w:val="num" w:pos="4668"/>
        </w:tabs>
        <w:ind w:left="4668" w:hanging="360"/>
      </w:pPr>
      <w:rPr>
        <w:rFonts w:ascii="Symbol" w:hAnsi="Symbol" w:cs="Symbol" w:hint="default"/>
      </w:rPr>
    </w:lvl>
    <w:lvl w:ilvl="7">
      <w:start w:val="1"/>
      <w:numFmt w:val="bullet"/>
      <w:lvlText w:val="o"/>
      <w:lvlJc w:val="left"/>
      <w:pPr>
        <w:tabs>
          <w:tab w:val="num" w:pos="5388"/>
        </w:tabs>
        <w:ind w:left="5388" w:hanging="360"/>
      </w:pPr>
      <w:rPr>
        <w:rFonts w:ascii="Courier New" w:hAnsi="Courier New" w:cs="Courier New" w:hint="default"/>
      </w:rPr>
    </w:lvl>
    <w:lvl w:ilvl="8">
      <w:start w:val="1"/>
      <w:numFmt w:val="bullet"/>
      <w:lvlText w:val=""/>
      <w:lvlJc w:val="left"/>
      <w:pPr>
        <w:tabs>
          <w:tab w:val="num" w:pos="6108"/>
        </w:tabs>
        <w:ind w:left="6108" w:hanging="360"/>
      </w:pPr>
      <w:rPr>
        <w:rFonts w:ascii="Wingdings" w:hAnsi="Wingdings" w:cs="Wingdings" w:hint="default"/>
      </w:rPr>
    </w:lvl>
  </w:abstractNum>
  <w:num w:numId="1">
    <w:abstractNumId w:val="1"/>
  </w:num>
  <w:num w:numId="2">
    <w:abstractNumId w:val="3"/>
  </w:num>
  <w:num w:numId="3">
    <w:abstractNumId w:val="0"/>
  </w:num>
  <w:num w:numId="4">
    <w:abstractNumId w:val="2"/>
  </w:num>
  <w:num w:numId="5">
    <w:abstractNumId w:val="2"/>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E3"/>
    <w:rsid w:val="00173D03"/>
    <w:rsid w:val="001E16C2"/>
    <w:rsid w:val="002075B8"/>
    <w:rsid w:val="003C7C51"/>
    <w:rsid w:val="00416E0B"/>
    <w:rsid w:val="004B57C8"/>
    <w:rsid w:val="007A7B0B"/>
    <w:rsid w:val="009955E3"/>
    <w:rsid w:val="009D6598"/>
    <w:rsid w:val="00B62906"/>
    <w:rsid w:val="00DF6AB7"/>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E00982"/>
  <w15:docId w15:val="{8F4C38A4-BFFA-40C2-84ED-2DEF6901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qFormat/>
    <w:rsid w:val="00D9409B"/>
    <w:pPr>
      <w:numPr>
        <w:numId w:val="1"/>
      </w:numPr>
      <w:pBdr>
        <w:top w:val="single" w:sz="12" w:space="1" w:color="000000"/>
        <w:left w:val="single" w:sz="12" w:space="1" w:color="000000"/>
        <w:bottom w:val="single" w:sz="12" w:space="1" w:color="000000"/>
        <w:right w:val="single" w:sz="12" w:space="1" w:color="000000"/>
      </w:pBdr>
      <w:shd w:val="pct15" w:color="auto" w:fill="FFFFFF"/>
      <w:tabs>
        <w:tab w:val="left" w:pos="-1985"/>
        <w:tab w:val="left" w:pos="567"/>
      </w:tabs>
      <w:jc w:val="center"/>
      <w:outlineLvl w:val="0"/>
    </w:pPr>
    <w:rPr>
      <w:b/>
      <w:bCs/>
    </w:rPr>
  </w:style>
  <w:style w:type="paragraph" w:styleId="Titre2">
    <w:name w:val="heading 2"/>
    <w:basedOn w:val="Normal"/>
    <w:next w:val="Normal"/>
    <w:link w:val="Titre2Car"/>
    <w:qFormat/>
    <w:rsid w:val="00207C64"/>
    <w:pPr>
      <w:keepNext/>
      <w:numPr>
        <w:ilvl w:val="1"/>
        <w:numId w:val="1"/>
      </w:numPr>
      <w:outlineLvl w:val="1"/>
    </w:pPr>
    <w:rPr>
      <w:b/>
    </w:rPr>
  </w:style>
  <w:style w:type="paragraph" w:styleId="Titre3">
    <w:name w:val="heading 3"/>
    <w:basedOn w:val="Normal"/>
    <w:next w:val="Titre4"/>
    <w:qFormat/>
    <w:rsid w:val="00125FB0"/>
    <w:pPr>
      <w:keepNext/>
      <w:numPr>
        <w:ilvl w:val="2"/>
        <w:numId w:val="1"/>
      </w:numPr>
      <w:outlineLvl w:val="2"/>
    </w:pPr>
  </w:style>
  <w:style w:type="paragraph" w:styleId="Titre4">
    <w:name w:val="heading 4"/>
    <w:basedOn w:val="Normal"/>
    <w:next w:val="Normal"/>
    <w:autoRedefine/>
    <w:qFormat/>
    <w:rsid w:val="00354EBD"/>
    <w:pPr>
      <w:numPr>
        <w:ilvl w:val="3"/>
        <w:numId w:val="1"/>
      </w:numPr>
      <w:outlineLvl w:val="3"/>
    </w:pPr>
  </w:style>
  <w:style w:type="paragraph" w:styleId="Titre5">
    <w:name w:val="heading 5"/>
    <w:basedOn w:val="Normal"/>
    <w:next w:val="Normal"/>
    <w:qFormat/>
    <w:rsid w:val="001D6C11"/>
    <w:pPr>
      <w:keepNext/>
      <w:tabs>
        <w:tab w:val="left" w:pos="-1985"/>
      </w:tabs>
      <w:outlineLvl w:val="4"/>
    </w:pPr>
    <w:rPr>
      <w:rFonts w:ascii="Garamond" w:hAnsi="Garamond"/>
      <w:b/>
      <w:bCs/>
    </w:rPr>
  </w:style>
  <w:style w:type="paragraph" w:styleId="Titre6">
    <w:name w:val="heading 6"/>
    <w:basedOn w:val="Normal"/>
    <w:next w:val="Normal"/>
    <w:qFormat/>
    <w:rsid w:val="001D6C11"/>
    <w:pPr>
      <w:keepNext/>
      <w:ind w:right="-2472"/>
      <w:outlineLvl w:val="5"/>
    </w:pPr>
    <w:rPr>
      <w:i/>
      <w:color w:val="FF0000"/>
    </w:rPr>
  </w:style>
  <w:style w:type="paragraph" w:styleId="Titre7">
    <w:name w:val="heading 7"/>
    <w:basedOn w:val="Normal"/>
    <w:next w:val="Normal"/>
    <w:qFormat/>
    <w:rsid w:val="001D6C11"/>
    <w:pPr>
      <w:keepNext/>
      <w:tabs>
        <w:tab w:val="left" w:pos="-1985"/>
      </w:tabs>
      <w:jc w:val="center"/>
      <w:outlineLvl w:val="6"/>
    </w:pPr>
    <w:rPr>
      <w:b/>
      <w:bCs/>
      <w:sz w:val="28"/>
      <w:szCs w:val="28"/>
    </w:rPr>
  </w:style>
  <w:style w:type="paragraph" w:styleId="Titre8">
    <w:name w:val="heading 8"/>
    <w:basedOn w:val="Normal"/>
    <w:next w:val="Normal"/>
    <w:qFormat/>
    <w:rsid w:val="001D6C11"/>
    <w:pPr>
      <w:keepNext/>
      <w:tabs>
        <w:tab w:val="left" w:pos="-1985"/>
      </w:tabs>
      <w:ind w:left="-567" w:right="-483"/>
      <w:outlineLvl w:val="7"/>
    </w:pPr>
    <w:rPr>
      <w:b/>
      <w:bCs/>
      <w:sz w:val="28"/>
      <w:szCs w:val="28"/>
    </w:rPr>
  </w:style>
  <w:style w:type="paragraph" w:styleId="Titre9">
    <w:name w:val="heading 9"/>
    <w:basedOn w:val="Normal"/>
    <w:next w:val="Normal"/>
    <w:qFormat/>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qFormat/>
    <w:rsid w:val="001D6C11"/>
    <w:rPr>
      <w:sz w:val="16"/>
      <w:szCs w:val="16"/>
    </w:rPr>
  </w:style>
  <w:style w:type="character" w:customStyle="1" w:styleId="Titre2Car">
    <w:name w:val="Titre 2 Car"/>
    <w:link w:val="Titre2"/>
    <w:qFormat/>
    <w:rsid w:val="00BF76AC"/>
    <w:rPr>
      <w:rFonts w:ascii="Arial" w:hAnsi="Arial" w:cs="Arial"/>
      <w:b/>
      <w:color w:val="000000"/>
    </w:rPr>
  </w:style>
  <w:style w:type="character" w:styleId="lev">
    <w:name w:val="Strong"/>
    <w:basedOn w:val="Policepardfaut"/>
    <w:uiPriority w:val="22"/>
    <w:qFormat/>
    <w:rsid w:val="00AB6D6D"/>
    <w:rPr>
      <w:b/>
      <w:bCs/>
    </w:rPr>
  </w:style>
  <w:style w:type="character" w:customStyle="1" w:styleId="En-tteCar">
    <w:name w:val="En-tête Car"/>
    <w:basedOn w:val="Policepardfaut"/>
    <w:uiPriority w:val="99"/>
    <w:qFormat/>
    <w:rsid w:val="00AB6D6D"/>
    <w:rPr>
      <w:rFonts w:ascii="Arial" w:hAnsi="Arial" w:cs="Arial"/>
      <w:color w:val="000000"/>
    </w:rPr>
  </w:style>
  <w:style w:type="character" w:customStyle="1" w:styleId="optxtisemp">
    <w:name w:val="op_txt_is_emp"/>
    <w:basedOn w:val="Policepardfaut"/>
    <w:qFormat/>
    <w:rsid w:val="00AB6D6D"/>
  </w:style>
  <w:style w:type="character" w:customStyle="1" w:styleId="SansinterligneCar">
    <w:name w:val="Sans interligne Car"/>
    <w:basedOn w:val="Policepardfaut"/>
    <w:link w:val="Sansinterligne"/>
    <w:uiPriority w:val="1"/>
    <w:qFormat/>
    <w:rsid w:val="00AB6D6D"/>
    <w:rPr>
      <w:rFonts w:asciiTheme="minorHAnsi" w:eastAsiaTheme="minorHAnsi" w:hAnsiTheme="minorHAnsi" w:cstheme="minorBidi"/>
      <w:sz w:val="22"/>
      <w:szCs w:val="22"/>
      <w:lang w:eastAsia="en-US"/>
    </w:rPr>
  </w:style>
  <w:style w:type="character" w:customStyle="1" w:styleId="CommentaireCar">
    <w:name w:val="Commentaire Car"/>
    <w:basedOn w:val="Policepardfaut"/>
    <w:link w:val="Commentaire"/>
    <w:uiPriority w:val="99"/>
    <w:semiHidden/>
    <w:qFormat/>
    <w:rsid w:val="00AB6D6D"/>
    <w:rPr>
      <w:rFonts w:ascii="Arial" w:hAnsi="Arial" w:cs="Arial"/>
      <w:color w:val="000000"/>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jc w:val="center"/>
    </w:pPr>
    <w:rPr>
      <w:rFonts w:eastAsia="Arial Unicode MS"/>
      <w:b/>
    </w:rPr>
  </w:style>
  <w:style w:type="paragraph" w:styleId="Retraitnormal">
    <w:name w:val="Normal Indent"/>
    <w:basedOn w:val="Normal"/>
    <w:qFormat/>
    <w:rsid w:val="001D6C11"/>
    <w:pPr>
      <w:tabs>
        <w:tab w:val="left" w:pos="-1985"/>
      </w:tabs>
      <w:ind w:left="708"/>
    </w:pPr>
  </w:style>
  <w:style w:type="paragraph" w:customStyle="1" w:styleId="En-tteetpieddepage">
    <w:name w:val="En-tête et pied de page"/>
    <w:basedOn w:val="Normal"/>
    <w:qFormat/>
  </w:style>
  <w:style w:type="paragraph" w:styleId="Pieddepage">
    <w:name w:val="footer"/>
    <w:basedOn w:val="Normal"/>
    <w:rsid w:val="001D6C11"/>
    <w:pPr>
      <w:tabs>
        <w:tab w:val="left" w:pos="-1985"/>
        <w:tab w:val="center" w:pos="4536"/>
        <w:tab w:val="right" w:pos="9072"/>
      </w:tabs>
    </w:pPr>
    <w:rPr>
      <w:sz w:val="22"/>
      <w:szCs w:val="22"/>
    </w:rPr>
  </w:style>
  <w:style w:type="paragraph" w:customStyle="1" w:styleId="remarque">
    <w:name w:val="remarque"/>
    <w:basedOn w:val="Normal"/>
    <w:qFormat/>
    <w:rsid w:val="001D6C11"/>
    <w:pPr>
      <w:tabs>
        <w:tab w:val="left" w:pos="-1985"/>
      </w:tabs>
    </w:pPr>
    <w:rPr>
      <w:b/>
      <w:bCs/>
    </w:rPr>
  </w:style>
  <w:style w:type="paragraph" w:styleId="Retraitcorpsdetexte">
    <w:name w:val="Body Text Indent"/>
    <w:basedOn w:val="Normal"/>
    <w:rsid w:val="001D6C11"/>
    <w:pPr>
      <w:tabs>
        <w:tab w:val="left" w:pos="-1985"/>
      </w:tabs>
      <w:ind w:firstLine="426"/>
    </w:pPr>
    <w:rPr>
      <w:sz w:val="22"/>
      <w:szCs w:val="22"/>
    </w:rPr>
  </w:style>
  <w:style w:type="paragraph" w:styleId="En-tte">
    <w:name w:val="header"/>
    <w:basedOn w:val="Normal"/>
    <w:uiPriority w:val="99"/>
    <w:rsid w:val="001D6C11"/>
    <w:pPr>
      <w:tabs>
        <w:tab w:val="left" w:pos="-1985"/>
        <w:tab w:val="center" w:pos="4536"/>
        <w:tab w:val="right" w:pos="9072"/>
      </w:tabs>
    </w:pPr>
  </w:style>
  <w:style w:type="paragraph" w:styleId="Notedebasdepage">
    <w:name w:val="footnote text"/>
    <w:basedOn w:val="Normal"/>
    <w:semiHidden/>
    <w:rsid w:val="001D6C11"/>
  </w:style>
  <w:style w:type="paragraph" w:styleId="Sous-titre">
    <w:name w:val="Subtitle"/>
    <w:basedOn w:val="Normal"/>
    <w:qFormat/>
    <w:rsid w:val="001D6C11"/>
    <w:pPr>
      <w:jc w:val="center"/>
    </w:pPr>
    <w:rPr>
      <w:b/>
      <w:i/>
      <w:sz w:val="28"/>
    </w:rPr>
  </w:style>
  <w:style w:type="paragraph" w:styleId="Commentaire">
    <w:name w:val="annotation text"/>
    <w:basedOn w:val="Normal"/>
    <w:link w:val="CommentaireCar"/>
    <w:uiPriority w:val="99"/>
    <w:semiHidden/>
    <w:qFormat/>
    <w:rsid w:val="001D6C11"/>
  </w:style>
  <w:style w:type="paragraph" w:styleId="Objetducommentaire">
    <w:name w:val="annotation subject"/>
    <w:basedOn w:val="Commentaire"/>
    <w:next w:val="Commentaire"/>
    <w:semiHidden/>
    <w:qFormat/>
    <w:rsid w:val="001D6C11"/>
    <w:rPr>
      <w:b/>
      <w:bCs/>
    </w:rPr>
  </w:style>
  <w:style w:type="paragraph" w:styleId="Textedebulles">
    <w:name w:val="Balloon Text"/>
    <w:basedOn w:val="Normal"/>
    <w:qFormat/>
    <w:rsid w:val="001D6C11"/>
    <w:rPr>
      <w:rFonts w:ascii="Tahoma" w:hAnsi="Tahoma" w:cs="Tahoma"/>
      <w:sz w:val="16"/>
      <w:szCs w:val="16"/>
    </w:rPr>
  </w:style>
  <w:style w:type="paragraph" w:styleId="TM1">
    <w:name w:val="toc 1"/>
    <w:basedOn w:val="ECEcorps"/>
    <w:next w:val="Normal"/>
    <w:uiPriority w:val="39"/>
    <w:qFormat/>
    <w:rsid w:val="00CA6FD0"/>
    <w:pPr>
      <w:tabs>
        <w:tab w:val="left" w:pos="284"/>
        <w:tab w:val="right" w:leader="dot" w:pos="9628"/>
      </w:tabs>
    </w:pPr>
  </w:style>
  <w:style w:type="paragraph" w:styleId="TM2">
    <w:name w:val="toc 2"/>
    <w:basedOn w:val="Normal"/>
    <w:next w:val="Normal"/>
    <w:uiPriority w:val="39"/>
    <w:unhideWhenUsed/>
    <w:qFormat/>
    <w:rsid w:val="00910B6F"/>
    <w:pPr>
      <w:tabs>
        <w:tab w:val="right" w:leader="dot" w:pos="9628"/>
      </w:tabs>
      <w:spacing w:after="100" w:line="276" w:lineRule="auto"/>
      <w:ind w:left="221"/>
    </w:pPr>
    <w:rPr>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qFormat/>
    <w:rsid w:val="00B97EB7"/>
    <w:pPr>
      <w:shd w:val="clear" w:color="auto" w:fill="EEECE1"/>
      <w:jc w:val="center"/>
    </w:pPr>
    <w:rPr>
      <w:rFonts w:cs="Times New Roman"/>
      <w:b/>
      <w:bCs/>
    </w:rPr>
  </w:style>
  <w:style w:type="paragraph" w:customStyle="1" w:styleId="Default">
    <w:name w:val="Default"/>
    <w:uiPriority w:val="99"/>
    <w:qFormat/>
    <w:rsid w:val="00BF76AC"/>
    <w:rPr>
      <w:rFonts w:ascii="Calibri" w:eastAsia="MS ??" w:hAnsi="Calibri" w:cs="Calibri"/>
      <w:color w:val="000000"/>
      <w:sz w:val="24"/>
      <w:szCs w:val="24"/>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rPr>
      <w:b/>
      <w:u w:val="single"/>
    </w:rPr>
  </w:style>
  <w:style w:type="paragraph" w:customStyle="1" w:styleId="ECEfiche">
    <w:name w:val="ECEfiche"/>
    <w:basedOn w:val="Titre1"/>
    <w:next w:val="ECEcorps"/>
    <w:qFormat/>
    <w:rsid w:val="00A12834"/>
    <w:pPr>
      <w:numPr>
        <w:numId w:val="0"/>
      </w:numPr>
      <w:shd w:val="clear" w:color="auto" w:fill="D8D8D8"/>
    </w:pPr>
    <w:rPr>
      <w:b w:val="0"/>
    </w:rPr>
  </w:style>
  <w:style w:type="paragraph" w:customStyle="1" w:styleId="ECErponse">
    <w:name w:val="ECEréponse"/>
    <w:basedOn w:val="ECEcorps"/>
    <w:qFormat/>
    <w:rsid w:val="00C22A4C"/>
    <w:pPr>
      <w:spacing w:before="240" w:line="240" w:lineRule="auto"/>
    </w:pPr>
    <w:rPr>
      <w:bCs/>
      <w:szCs w:val="22"/>
    </w:rPr>
  </w:style>
  <w:style w:type="paragraph" w:customStyle="1" w:styleId="ECEpartie">
    <w:name w:val="ECEpartie"/>
    <w:basedOn w:val="ECEcorps"/>
    <w:next w:val="ECEcorps"/>
    <w:qFormat/>
    <w:rsid w:val="00452138"/>
    <w:pPr>
      <w:numPr>
        <w:numId w:val="3"/>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000000"/>
        <w:left w:val="single" w:sz="12" w:space="4" w:color="000000"/>
        <w:bottom w:val="single" w:sz="12" w:space="1" w:color="000000"/>
        <w:right w:val="single" w:sz="12" w:space="4" w:color="000000"/>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tabs>
        <w:tab w:val="num" w:pos="0"/>
      </w:tabs>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paragraph" w:customStyle="1" w:styleId="optxtp">
    <w:name w:val="op_txt_p"/>
    <w:basedOn w:val="Normal"/>
    <w:qFormat/>
    <w:rsid w:val="00AB6D6D"/>
    <w:pPr>
      <w:spacing w:beforeAutospacing="1" w:afterAutospacing="1" w:line="240" w:lineRule="auto"/>
      <w:jc w:val="left"/>
    </w:pPr>
    <w:rPr>
      <w:rFonts w:ascii="Times New Roman" w:hAnsi="Times New Roman" w:cs="Times New Roman"/>
      <w:color w:val="auto"/>
      <w:sz w:val="24"/>
      <w:szCs w:val="24"/>
    </w:rPr>
  </w:style>
  <w:style w:type="paragraph" w:styleId="Sansinterligne">
    <w:name w:val="No Spacing"/>
    <w:link w:val="SansinterligneCar"/>
    <w:uiPriority w:val="1"/>
    <w:qFormat/>
    <w:rsid w:val="00AB6D6D"/>
    <w:rPr>
      <w:rFonts w:asciiTheme="minorHAnsi" w:eastAsiaTheme="minorHAnsi" w:hAnsiTheme="minorHAnsi" w:cstheme="minorBidi"/>
      <w:sz w:val="22"/>
      <w:szCs w:val="22"/>
      <w:lang w:eastAsia="en-US"/>
    </w:rPr>
  </w:style>
  <w:style w:type="table" w:styleId="Grilledutableau">
    <w:name w:val="Table Grid"/>
    <w:basedOn w:val="TableauNormal"/>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ADE4-6734-45E5-97E2-207707FD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874</Words>
  <Characters>4808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ECE</vt:lpstr>
    </vt:vector>
  </TitlesOfParts>
  <Company>Rectorat de Versailles</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dc:subject/>
  <dc:creator/>
  <dc:description/>
  <cp:lastPrinted>2014-07-07T13:51:00Z</cp:lastPrinted>
  <dcterms:created xsi:type="dcterms:W3CDTF">2020-03-22T14:23:00Z</dcterms:created>
  <dcterms:modified xsi:type="dcterms:W3CDTF">2023-01-05T13:39:00Z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Rectorat de Versailles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